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74F" w:rsidRDefault="007D774F" w:rsidP="009F0A29">
      <w:pPr>
        <w:pStyle w:val="En-tte"/>
        <w:spacing w:before="120"/>
      </w:pPr>
    </w:p>
    <w:p w:rsidR="00542D9F" w:rsidRDefault="00542D9F" w:rsidP="009F0A29">
      <w:pPr>
        <w:pStyle w:val="En-tte"/>
        <w:spacing w:before="120"/>
      </w:pPr>
      <w:r>
        <w:t xml:space="preserve">Version modifiée par </w:t>
      </w:r>
      <w:r w:rsidR="004750FB" w:rsidRPr="004750FB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750FB" w:rsidRPr="004750FB">
        <w:rPr>
          <w:highlight w:val="lightGray"/>
        </w:rPr>
        <w:instrText xml:space="preserve"> FORMTEXT </w:instrText>
      </w:r>
      <w:r w:rsidR="004750FB" w:rsidRPr="004750FB">
        <w:rPr>
          <w:highlight w:val="lightGray"/>
        </w:rPr>
      </w:r>
      <w:r w:rsidR="004750FB" w:rsidRPr="004750FB">
        <w:rPr>
          <w:highlight w:val="lightGray"/>
        </w:rPr>
        <w:fldChar w:fldCharType="separate"/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highlight w:val="lightGray"/>
        </w:rPr>
        <w:fldChar w:fldCharType="end"/>
      </w:r>
      <w:bookmarkEnd w:id="0"/>
    </w:p>
    <w:p w:rsidR="00542D9F" w:rsidRDefault="00542D9F" w:rsidP="00542D9F">
      <w:pPr>
        <w:pStyle w:val="En-tte"/>
      </w:pPr>
      <w:r>
        <w:t xml:space="preserve">De l’école </w:t>
      </w:r>
      <w:r w:rsidR="004750FB" w:rsidRPr="004750FB">
        <w:rPr>
          <w:highlight w:val="lightGray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50FB" w:rsidRPr="004750FB">
        <w:rPr>
          <w:highlight w:val="lightGray"/>
        </w:rPr>
        <w:instrText xml:space="preserve"> FORMTEXT </w:instrText>
      </w:r>
      <w:r w:rsidR="004750FB" w:rsidRPr="004750FB">
        <w:rPr>
          <w:highlight w:val="lightGray"/>
        </w:rPr>
      </w:r>
      <w:r w:rsidR="004750FB" w:rsidRPr="004750FB">
        <w:rPr>
          <w:highlight w:val="lightGray"/>
        </w:rPr>
        <w:fldChar w:fldCharType="separate"/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noProof/>
          <w:highlight w:val="lightGray"/>
        </w:rPr>
        <w:t> </w:t>
      </w:r>
      <w:r w:rsidR="004750FB" w:rsidRPr="004750FB">
        <w:rPr>
          <w:highlight w:val="lightGray"/>
        </w:rPr>
        <w:fldChar w:fldCharType="end"/>
      </w:r>
    </w:p>
    <w:p w:rsidR="00FA092A" w:rsidRDefault="00FA092A" w:rsidP="00542D9F">
      <w:pPr>
        <w:pStyle w:val="En-tte"/>
      </w:pPr>
    </w:p>
    <w:p w:rsidR="00C031D0" w:rsidRPr="007D774F" w:rsidRDefault="00C031D0" w:rsidP="009F0A29">
      <w:pPr>
        <w:pStyle w:val="Citationintense"/>
        <w:spacing w:before="240"/>
        <w:ind w:left="0" w:right="-6"/>
        <w:rPr>
          <w:b/>
          <w:i w:val="0"/>
          <w:sz w:val="26"/>
          <w:szCs w:val="26"/>
        </w:rPr>
      </w:pPr>
      <w:r w:rsidRPr="007D774F">
        <w:rPr>
          <w:b/>
          <w:i w:val="0"/>
          <w:sz w:val="26"/>
          <w:szCs w:val="26"/>
        </w:rPr>
        <w:t xml:space="preserve">Banque de phrases à utiliser pour </w:t>
      </w:r>
      <w:r w:rsidR="00121FB5" w:rsidRPr="007D774F">
        <w:rPr>
          <w:b/>
          <w:i w:val="0"/>
          <w:sz w:val="26"/>
          <w:szCs w:val="26"/>
        </w:rPr>
        <w:t>des dictées d’apprentissage</w:t>
      </w:r>
      <w:r w:rsidRPr="007D774F">
        <w:rPr>
          <w:b/>
          <w:i w:val="0"/>
          <w:sz w:val="26"/>
          <w:szCs w:val="26"/>
        </w:rPr>
        <w:t xml:space="preserve"> – 1</w:t>
      </w:r>
      <w:r w:rsidRPr="007D774F">
        <w:rPr>
          <w:b/>
          <w:i w:val="0"/>
          <w:sz w:val="26"/>
          <w:szCs w:val="26"/>
          <w:vertAlign w:val="superscript"/>
        </w:rPr>
        <w:t>re</w:t>
      </w:r>
      <w:r w:rsidR="00FA092A" w:rsidRPr="007D774F">
        <w:rPr>
          <w:b/>
          <w:i w:val="0"/>
          <w:sz w:val="26"/>
          <w:szCs w:val="26"/>
        </w:rPr>
        <w:t> </w:t>
      </w:r>
      <w:r w:rsidRPr="007D774F">
        <w:rPr>
          <w:b/>
          <w:i w:val="0"/>
          <w:sz w:val="26"/>
          <w:szCs w:val="26"/>
        </w:rPr>
        <w:t>secondaire</w:t>
      </w:r>
    </w:p>
    <w:p w:rsidR="000B51AC" w:rsidRDefault="00134151" w:rsidP="00C031D0">
      <w:pPr>
        <w:jc w:val="both"/>
        <w:rPr>
          <w:sz w:val="24"/>
        </w:rPr>
      </w:pPr>
      <w:r>
        <w:rPr>
          <w:sz w:val="24"/>
        </w:rPr>
        <w:t xml:space="preserve">Nous présentons dans ce document </w:t>
      </w:r>
      <w:r w:rsidR="00DD247D">
        <w:rPr>
          <w:sz w:val="24"/>
        </w:rPr>
        <w:t>quelques</w:t>
      </w:r>
      <w:r>
        <w:rPr>
          <w:sz w:val="24"/>
        </w:rPr>
        <w:t xml:space="preserve"> phrases pouvant être utilisées dans le cadre de dictées d’apprentissage. </w:t>
      </w:r>
      <w:r w:rsidRPr="00134151">
        <w:rPr>
          <w:sz w:val="24"/>
        </w:rPr>
        <w:t xml:space="preserve">Aussi appelées </w:t>
      </w:r>
      <w:r>
        <w:rPr>
          <w:sz w:val="24"/>
        </w:rPr>
        <w:t>« </w:t>
      </w:r>
      <w:r w:rsidRPr="00134151">
        <w:rPr>
          <w:sz w:val="24"/>
        </w:rPr>
        <w:t>dictées métacognitives</w:t>
      </w:r>
      <w:r>
        <w:rPr>
          <w:sz w:val="24"/>
        </w:rPr>
        <w:t> »</w:t>
      </w:r>
      <w:r w:rsidRPr="00134151">
        <w:rPr>
          <w:sz w:val="24"/>
        </w:rPr>
        <w:t xml:space="preserve">, </w:t>
      </w:r>
      <w:r>
        <w:rPr>
          <w:sz w:val="24"/>
        </w:rPr>
        <w:t>ces dernières</w:t>
      </w:r>
      <w:r w:rsidRPr="00134151">
        <w:rPr>
          <w:sz w:val="24"/>
        </w:rPr>
        <w:t xml:space="preserve"> </w:t>
      </w:r>
      <w:r>
        <w:rPr>
          <w:sz w:val="24"/>
        </w:rPr>
        <w:t>constituent des activités favorisant l’utilisation de la grammaire à l’écrit ou, en d’autres mots, le transfert des apprentissages grammaticaux</w:t>
      </w:r>
      <w:r>
        <w:rPr>
          <w:rStyle w:val="Appelnotedebasdep"/>
          <w:sz w:val="24"/>
        </w:rPr>
        <w:footnoteReference w:id="1"/>
      </w:r>
      <w:r w:rsidR="003D444B">
        <w:rPr>
          <w:sz w:val="24"/>
        </w:rPr>
        <w:t>, et ce, par le biais de discussions et d’échanges</w:t>
      </w:r>
      <w:r w:rsidRPr="00134151">
        <w:rPr>
          <w:sz w:val="24"/>
        </w:rPr>
        <w:t xml:space="preserve">. </w:t>
      </w:r>
      <w:r w:rsidR="00911FBA">
        <w:rPr>
          <w:sz w:val="24"/>
        </w:rPr>
        <w:t>C</w:t>
      </w:r>
      <w:r w:rsidR="003D444B">
        <w:rPr>
          <w:sz w:val="24"/>
        </w:rPr>
        <w:t>es activités de résolution de problèmes</w:t>
      </w:r>
      <w:r w:rsidR="00911FBA">
        <w:rPr>
          <w:sz w:val="24"/>
        </w:rPr>
        <w:t xml:space="preserve"> ne servent pas à l’évaluation</w:t>
      </w:r>
      <w:r w:rsidR="000B51AC">
        <w:rPr>
          <w:sz w:val="24"/>
        </w:rPr>
        <w:t xml:space="preserve"> (elles ne comptent pas)</w:t>
      </w:r>
      <w:r w:rsidR="00911FBA">
        <w:rPr>
          <w:sz w:val="24"/>
        </w:rPr>
        <w:t xml:space="preserve"> et</w:t>
      </w:r>
      <w:r w:rsidR="003D444B">
        <w:rPr>
          <w:sz w:val="24"/>
        </w:rPr>
        <w:t xml:space="preserve"> l</w:t>
      </w:r>
      <w:r w:rsidR="003D444B" w:rsidRPr="00134151">
        <w:rPr>
          <w:sz w:val="24"/>
        </w:rPr>
        <w:t xml:space="preserve">’erreur </w:t>
      </w:r>
      <w:r w:rsidR="00911FBA">
        <w:rPr>
          <w:sz w:val="24"/>
        </w:rPr>
        <w:t xml:space="preserve">y </w:t>
      </w:r>
      <w:r w:rsidR="003D444B">
        <w:rPr>
          <w:sz w:val="24"/>
        </w:rPr>
        <w:t>est</w:t>
      </w:r>
      <w:r w:rsidR="003D444B" w:rsidRPr="00134151">
        <w:rPr>
          <w:sz w:val="24"/>
        </w:rPr>
        <w:t xml:space="preserve"> </w:t>
      </w:r>
      <w:r w:rsidR="003D444B">
        <w:rPr>
          <w:sz w:val="24"/>
        </w:rPr>
        <w:t xml:space="preserve">présentée aux élèves comme </w:t>
      </w:r>
      <w:r w:rsidR="00A46A01" w:rsidRPr="00134151">
        <w:rPr>
          <w:sz w:val="24"/>
        </w:rPr>
        <w:t>un</w:t>
      </w:r>
      <w:r w:rsidR="00A46A01">
        <w:rPr>
          <w:sz w:val="24"/>
        </w:rPr>
        <w:t>e</w:t>
      </w:r>
      <w:r w:rsidR="00A46A01" w:rsidRPr="00134151">
        <w:rPr>
          <w:sz w:val="24"/>
        </w:rPr>
        <w:t xml:space="preserve"> </w:t>
      </w:r>
      <w:r w:rsidR="00A46A01">
        <w:rPr>
          <w:sz w:val="24"/>
        </w:rPr>
        <w:t>occasion</w:t>
      </w:r>
      <w:r w:rsidR="003D444B" w:rsidRPr="00134151">
        <w:rPr>
          <w:sz w:val="24"/>
        </w:rPr>
        <w:t xml:space="preserve"> d’apprentissage</w:t>
      </w:r>
      <w:r w:rsidR="00911FBA">
        <w:rPr>
          <w:sz w:val="24"/>
        </w:rPr>
        <w:t xml:space="preserve">. </w:t>
      </w:r>
    </w:p>
    <w:p w:rsidR="00134151" w:rsidRDefault="00134151" w:rsidP="00C031D0">
      <w:pPr>
        <w:jc w:val="both"/>
        <w:rPr>
          <w:sz w:val="24"/>
        </w:rPr>
      </w:pPr>
      <w:r w:rsidRPr="00134151">
        <w:rPr>
          <w:sz w:val="24"/>
        </w:rPr>
        <w:t xml:space="preserve">Parmi </w:t>
      </w:r>
      <w:r w:rsidR="00767D0B">
        <w:rPr>
          <w:sz w:val="24"/>
        </w:rPr>
        <w:t>ces dictées</w:t>
      </w:r>
      <w:r w:rsidRPr="00134151">
        <w:rPr>
          <w:sz w:val="24"/>
        </w:rPr>
        <w:t xml:space="preserve">, notons la </w:t>
      </w:r>
      <w:r w:rsidRPr="00134151">
        <w:rPr>
          <w:i/>
          <w:sz w:val="24"/>
        </w:rPr>
        <w:t>phrase dictée du jour</w:t>
      </w:r>
      <w:r w:rsidRPr="00134151">
        <w:rPr>
          <w:sz w:val="24"/>
        </w:rPr>
        <w:t xml:space="preserve"> et la </w:t>
      </w:r>
      <w:r w:rsidRPr="00134151">
        <w:rPr>
          <w:i/>
          <w:sz w:val="24"/>
        </w:rPr>
        <w:t>dictée 0 faute</w:t>
      </w:r>
      <w:r w:rsidRPr="00134151">
        <w:rPr>
          <w:sz w:val="24"/>
        </w:rPr>
        <w:t xml:space="preserve">, les plus courantes, mais aussi la </w:t>
      </w:r>
      <w:r w:rsidRPr="00134151">
        <w:rPr>
          <w:i/>
          <w:sz w:val="24"/>
        </w:rPr>
        <w:t>phrase dictée « donnée »</w:t>
      </w:r>
      <w:r w:rsidRPr="00134151">
        <w:rPr>
          <w:sz w:val="24"/>
        </w:rPr>
        <w:t xml:space="preserve"> et la </w:t>
      </w:r>
      <w:r w:rsidRPr="00134151">
        <w:rPr>
          <w:i/>
          <w:sz w:val="24"/>
        </w:rPr>
        <w:t>dictée négociée</w:t>
      </w:r>
      <w:r w:rsidRPr="00134151">
        <w:rPr>
          <w:sz w:val="24"/>
        </w:rPr>
        <w:t xml:space="preserve"> ou </w:t>
      </w:r>
      <w:r w:rsidRPr="00134151">
        <w:rPr>
          <w:i/>
          <w:sz w:val="24"/>
        </w:rPr>
        <w:t>coopérative</w:t>
      </w:r>
      <w:r w:rsidRPr="00134151">
        <w:rPr>
          <w:sz w:val="24"/>
        </w:rPr>
        <w:t xml:space="preserve">. Pour </w:t>
      </w:r>
      <w:r w:rsidR="00767D0B">
        <w:rPr>
          <w:sz w:val="24"/>
        </w:rPr>
        <w:t xml:space="preserve">lire </w:t>
      </w:r>
      <w:r w:rsidRPr="00134151">
        <w:rPr>
          <w:sz w:val="24"/>
        </w:rPr>
        <w:t xml:space="preserve">une brève présentation de </w:t>
      </w:r>
      <w:r w:rsidR="00767D0B">
        <w:rPr>
          <w:sz w:val="24"/>
        </w:rPr>
        <w:t>celles-ci, nous vous invitons à lire</w:t>
      </w:r>
      <w:r w:rsidRPr="00134151">
        <w:rPr>
          <w:sz w:val="24"/>
        </w:rPr>
        <w:t xml:space="preserve"> la page 14 de </w:t>
      </w:r>
      <w:hyperlink r:id="rId8" w:history="1">
        <w:r w:rsidRPr="00767D0B">
          <w:rPr>
            <w:rStyle w:val="Lienhypertexte"/>
            <w:b/>
            <w:sz w:val="24"/>
          </w:rPr>
          <w:t>ce do</w:t>
        </w:r>
        <w:r w:rsidR="00767D0B">
          <w:rPr>
            <w:rStyle w:val="Lienhypertexte"/>
            <w:b/>
            <w:sz w:val="24"/>
          </w:rPr>
          <w:t>ssier</w:t>
        </w:r>
      </w:hyperlink>
      <w:r w:rsidRPr="00134151">
        <w:rPr>
          <w:sz w:val="24"/>
        </w:rPr>
        <w:t xml:space="preserve"> du CTREQ</w:t>
      </w:r>
      <w:r w:rsidR="00767D0B">
        <w:rPr>
          <w:sz w:val="24"/>
        </w:rPr>
        <w:t xml:space="preserve"> et du MEQ de 2019</w:t>
      </w:r>
      <w:r w:rsidRPr="00134151">
        <w:rPr>
          <w:sz w:val="24"/>
        </w:rPr>
        <w:t>.</w:t>
      </w:r>
    </w:p>
    <w:p w:rsidR="00C031D0" w:rsidRDefault="00C031D0" w:rsidP="00C031D0">
      <w:pPr>
        <w:jc w:val="both"/>
        <w:rPr>
          <w:sz w:val="24"/>
        </w:rPr>
      </w:pPr>
      <w:r w:rsidRPr="00C031D0">
        <w:rPr>
          <w:sz w:val="24"/>
        </w:rPr>
        <w:t xml:space="preserve">Les </w:t>
      </w:r>
      <w:r>
        <w:rPr>
          <w:sz w:val="24"/>
        </w:rPr>
        <w:t xml:space="preserve">phrases </w:t>
      </w:r>
      <w:r w:rsidR="00767D0B">
        <w:rPr>
          <w:sz w:val="24"/>
        </w:rPr>
        <w:t xml:space="preserve">proposées </w:t>
      </w:r>
      <w:r w:rsidR="00FA092A">
        <w:rPr>
          <w:sz w:val="24"/>
        </w:rPr>
        <w:t>dans les</w:t>
      </w:r>
      <w:r w:rsidR="00767D0B">
        <w:rPr>
          <w:sz w:val="24"/>
        </w:rPr>
        <w:t xml:space="preserve"> pages suivantes</w:t>
      </w:r>
      <w:r>
        <w:rPr>
          <w:sz w:val="24"/>
        </w:rPr>
        <w:t xml:space="preserve"> ont été rédigées </w:t>
      </w:r>
      <w:r w:rsidR="00FA092A">
        <w:rPr>
          <w:sz w:val="24"/>
        </w:rPr>
        <w:t>de façon à contenir</w:t>
      </w:r>
      <w:r>
        <w:rPr>
          <w:sz w:val="24"/>
        </w:rPr>
        <w:t xml:space="preserve"> des cas grammaticaux qui, </w:t>
      </w:r>
      <w:r w:rsidR="004750FB">
        <w:rPr>
          <w:sz w:val="24"/>
        </w:rPr>
        <w:t>sauf erreur</w:t>
      </w:r>
      <w:r>
        <w:rPr>
          <w:sz w:val="24"/>
        </w:rPr>
        <w:t xml:space="preserve">, devraient être déjà maitrisés ou devraient </w:t>
      </w:r>
      <w:r w:rsidR="00121FB5">
        <w:rPr>
          <w:sz w:val="24"/>
        </w:rPr>
        <w:t>faire l’objet d’un enseignement-apprentissage</w:t>
      </w:r>
      <w:r>
        <w:rPr>
          <w:sz w:val="24"/>
        </w:rPr>
        <w:t xml:space="preserve"> en 1</w:t>
      </w:r>
      <w:r w:rsidRPr="00C031D0">
        <w:rPr>
          <w:sz w:val="24"/>
          <w:vertAlign w:val="superscript"/>
        </w:rPr>
        <w:t>re</w:t>
      </w:r>
      <w:r>
        <w:rPr>
          <w:sz w:val="24"/>
        </w:rPr>
        <w:t> secondaire</w:t>
      </w:r>
      <w:r w:rsidR="00121FB5">
        <w:rPr>
          <w:sz w:val="24"/>
        </w:rPr>
        <w:t>, et ce,</w:t>
      </w:r>
      <w:r>
        <w:rPr>
          <w:sz w:val="24"/>
        </w:rPr>
        <w:t xml:space="preserve"> </w:t>
      </w:r>
      <w:r w:rsidR="00767D0B">
        <w:rPr>
          <w:sz w:val="24"/>
        </w:rPr>
        <w:t>selon</w:t>
      </w:r>
      <w:r>
        <w:rPr>
          <w:sz w:val="24"/>
        </w:rPr>
        <w:t xml:space="preserve"> les documents de progression des apprentissages </w:t>
      </w:r>
      <w:r w:rsidR="00A46A01">
        <w:rPr>
          <w:sz w:val="24"/>
        </w:rPr>
        <w:t xml:space="preserve">en français </w:t>
      </w:r>
      <w:r>
        <w:rPr>
          <w:sz w:val="24"/>
        </w:rPr>
        <w:t>du primaire et du secondaire.</w:t>
      </w:r>
      <w:r w:rsidR="00767D0B">
        <w:rPr>
          <w:sz w:val="24"/>
        </w:rPr>
        <w:t xml:space="preserve"> L</w:t>
      </w:r>
      <w:r w:rsidR="00121FB5">
        <w:rPr>
          <w:sz w:val="24"/>
        </w:rPr>
        <w:t xml:space="preserve">ibre à vous </w:t>
      </w:r>
      <w:r w:rsidR="00767D0B">
        <w:rPr>
          <w:sz w:val="24"/>
        </w:rPr>
        <w:t xml:space="preserve">de modifier le document pour y </w:t>
      </w:r>
      <w:r w:rsidR="00121FB5">
        <w:rPr>
          <w:sz w:val="24"/>
        </w:rPr>
        <w:t xml:space="preserve">ajouter des phrases </w:t>
      </w:r>
      <w:r w:rsidR="007D774F">
        <w:rPr>
          <w:sz w:val="24"/>
        </w:rPr>
        <w:t xml:space="preserve">de votre cru ou </w:t>
      </w:r>
      <w:r w:rsidR="00121FB5">
        <w:rPr>
          <w:sz w:val="24"/>
        </w:rPr>
        <w:t>de votre choix, des pistes pour l’observation, etc.</w:t>
      </w:r>
      <w:r w:rsidR="00767D0B">
        <w:rPr>
          <w:sz w:val="24"/>
        </w:rPr>
        <w:t xml:space="preserve"> </w:t>
      </w:r>
    </w:p>
    <w:p w:rsidR="00E36666" w:rsidRDefault="00C031D0" w:rsidP="00C031D0">
      <w:pPr>
        <w:jc w:val="both"/>
        <w:rPr>
          <w:sz w:val="24"/>
        </w:rPr>
      </w:pPr>
      <w:r>
        <w:rPr>
          <w:sz w:val="24"/>
        </w:rPr>
        <w:t xml:space="preserve">La première phrase </w:t>
      </w:r>
      <w:r w:rsidR="00A46A01">
        <w:rPr>
          <w:sz w:val="24"/>
        </w:rPr>
        <w:t xml:space="preserve">proposée </w:t>
      </w:r>
      <w:r>
        <w:rPr>
          <w:sz w:val="24"/>
        </w:rPr>
        <w:t xml:space="preserve">est suivie de pistes </w:t>
      </w:r>
      <w:r w:rsidR="00121FB5">
        <w:rPr>
          <w:sz w:val="24"/>
        </w:rPr>
        <w:t xml:space="preserve">quant à certains des cas grammaticaux qui pourraient faire l’objet d’échanges lors </w:t>
      </w:r>
      <w:r>
        <w:rPr>
          <w:sz w:val="24"/>
        </w:rPr>
        <w:t>d’une dictée d’apprentissage. Les suivantes ne le sont pas.</w:t>
      </w:r>
    </w:p>
    <w:p w:rsidR="009F0A29" w:rsidRDefault="009F0A29">
      <w:pPr>
        <w:rPr>
          <w:sz w:val="24"/>
        </w:rPr>
      </w:pPr>
      <w:r>
        <w:rPr>
          <w:sz w:val="24"/>
        </w:rPr>
        <w:br w:type="page"/>
      </w:r>
    </w:p>
    <w:p w:rsidR="00093AD3" w:rsidRDefault="00093AD3" w:rsidP="00093AD3">
      <w:pPr>
        <w:jc w:val="both"/>
        <w:rPr>
          <w:rFonts w:ascii="Century Gothic" w:hAnsi="Century Gothic"/>
          <w:sz w:val="24"/>
          <w:szCs w:val="24"/>
        </w:rPr>
      </w:pPr>
    </w:p>
    <w:p w:rsidR="00093AD3" w:rsidRPr="00053588" w:rsidRDefault="00093AD3" w:rsidP="00093AD3">
      <w:pPr>
        <w:jc w:val="both"/>
        <w:rPr>
          <w:rFonts w:ascii="Century Gothic" w:hAnsi="Century Gothic"/>
          <w:sz w:val="24"/>
          <w:szCs w:val="24"/>
        </w:rPr>
      </w:pPr>
      <w:r w:rsidRPr="00053588">
        <w:rPr>
          <w:rFonts w:ascii="Century Gothic" w:hAnsi="Century Gothic"/>
          <w:sz w:val="24"/>
          <w:szCs w:val="24"/>
        </w:rPr>
        <w:t>Rémi et son frère étaient p</w:t>
      </w:r>
      <w:bookmarkStart w:id="1" w:name="_GoBack"/>
      <w:bookmarkEnd w:id="1"/>
      <w:r w:rsidRPr="00053588">
        <w:rPr>
          <w:rFonts w:ascii="Century Gothic" w:hAnsi="Century Gothic"/>
          <w:sz w:val="24"/>
          <w:szCs w:val="24"/>
        </w:rPr>
        <w:t>artis chercher des cornets de crème glacée au chocolat pour toute la famille.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093AD3" w:rsidRPr="00B029A0" w:rsidTr="00093AD3">
        <w:tc>
          <w:tcPr>
            <w:tcW w:w="2122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093AD3" w:rsidRPr="00B029A0" w:rsidRDefault="00093AD3" w:rsidP="00680BE4">
            <w:pPr>
              <w:rPr>
                <w:b/>
                <w:szCs w:val="24"/>
              </w:rPr>
            </w:pPr>
            <w:r w:rsidRPr="00B029A0">
              <w:rPr>
                <w:b/>
                <w:szCs w:val="24"/>
              </w:rPr>
              <w:t>Mot et graphies erronées possibles</w:t>
            </w:r>
          </w:p>
        </w:tc>
        <w:tc>
          <w:tcPr>
            <w:tcW w:w="807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093AD3" w:rsidRPr="00B029A0" w:rsidRDefault="00093AD3" w:rsidP="00680BE4">
            <w:pPr>
              <w:jc w:val="center"/>
              <w:rPr>
                <w:b/>
                <w:szCs w:val="24"/>
              </w:rPr>
            </w:pPr>
            <w:r w:rsidRPr="00B029A0">
              <w:rPr>
                <w:b/>
                <w:szCs w:val="24"/>
              </w:rPr>
              <w:t>Éléments du raisonnement</w:t>
            </w:r>
          </w:p>
        </w:tc>
      </w:tr>
      <w:tr w:rsidR="00093AD3" w:rsidRPr="00B029A0" w:rsidTr="00093AD3">
        <w:tc>
          <w:tcPr>
            <w:tcW w:w="2122" w:type="dxa"/>
          </w:tcPr>
          <w:p w:rsidR="00093AD3" w:rsidRPr="00B029A0" w:rsidRDefault="00093AD3" w:rsidP="00F45AE5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étaient</w:t>
            </w:r>
            <w:proofErr w:type="gramEnd"/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*était</w:t>
            </w:r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*étais</w:t>
            </w:r>
          </w:p>
          <w:p w:rsidR="00093AD3" w:rsidRPr="00B029A0" w:rsidRDefault="00093AD3" w:rsidP="00680BE4">
            <w:pPr>
              <w:rPr>
                <w:szCs w:val="24"/>
              </w:rPr>
            </w:pPr>
            <w:r w:rsidRPr="00300486">
              <w:rPr>
                <w:szCs w:val="24"/>
              </w:rPr>
              <w:t>*été</w:t>
            </w:r>
          </w:p>
        </w:tc>
        <w:tc>
          <w:tcPr>
            <w:tcW w:w="8079" w:type="dxa"/>
          </w:tcPr>
          <w:p w:rsidR="00093AD3" w:rsidRDefault="00093AD3" w:rsidP="00F45AE5">
            <w:pPr>
              <w:spacing w:before="80"/>
              <w:rPr>
                <w:szCs w:val="24"/>
              </w:rPr>
            </w:pPr>
            <w:r>
              <w:rPr>
                <w:szCs w:val="24"/>
              </w:rPr>
              <w:t xml:space="preserve">Montrer que le verbe </w:t>
            </w:r>
            <w:r w:rsidRPr="00933F2E">
              <w:rPr>
                <w:i/>
                <w:szCs w:val="24"/>
              </w:rPr>
              <w:t>étai</w:t>
            </w:r>
            <w:r>
              <w:rPr>
                <w:i/>
                <w:szCs w:val="24"/>
              </w:rPr>
              <w:t>en</w:t>
            </w:r>
            <w:r w:rsidRPr="00933F2E">
              <w:rPr>
                <w:i/>
                <w:szCs w:val="24"/>
              </w:rPr>
              <w:t>t</w:t>
            </w:r>
            <w:r>
              <w:rPr>
                <w:szCs w:val="24"/>
              </w:rPr>
              <w:t xml:space="preserve"> reçoit les marques de la 3</w:t>
            </w:r>
            <w:r w:rsidRPr="00933F2E">
              <w:rPr>
                <w:szCs w:val="24"/>
                <w:vertAlign w:val="superscript"/>
              </w:rPr>
              <w:t>e</w:t>
            </w:r>
            <w:r>
              <w:rPr>
                <w:szCs w:val="24"/>
              </w:rPr>
              <w:t xml:space="preserve"> personne et du pluriel du sujet </w:t>
            </w:r>
            <w:r>
              <w:rPr>
                <w:i/>
                <w:szCs w:val="24"/>
              </w:rPr>
              <w:t xml:space="preserve">Rémi et son frère </w:t>
            </w:r>
            <w:r>
              <w:rPr>
                <w:szCs w:val="24"/>
              </w:rPr>
              <w:t>(donneur).</w:t>
            </w:r>
          </w:p>
          <w:p w:rsidR="00093AD3" w:rsidRDefault="00093AD3" w:rsidP="00093AD3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 w:rsidRPr="00B029A0">
              <w:rPr>
                <w:szCs w:val="24"/>
              </w:rPr>
              <w:t xml:space="preserve">On </w:t>
            </w:r>
            <w:r>
              <w:rPr>
                <w:szCs w:val="24"/>
              </w:rPr>
              <w:t xml:space="preserve">peut cerner le sujet en utilisant l’encadrement. Ex. : (…) </w:t>
            </w:r>
            <w:r>
              <w:rPr>
                <w:b/>
                <w:i/>
                <w:szCs w:val="24"/>
              </w:rPr>
              <w:t>Ce sont</w:t>
            </w:r>
            <w:r w:rsidRPr="00AC57F1">
              <w:rPr>
                <w:b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Rémi et son frère </w:t>
            </w:r>
            <w:r w:rsidRPr="00AC57F1">
              <w:rPr>
                <w:b/>
                <w:i/>
                <w:szCs w:val="24"/>
              </w:rPr>
              <w:t>qui</w:t>
            </w:r>
            <w:r w:rsidRPr="00AC57F1">
              <w:rPr>
                <w:i/>
                <w:szCs w:val="24"/>
              </w:rPr>
              <w:t xml:space="preserve"> étai</w:t>
            </w:r>
            <w:r>
              <w:rPr>
                <w:i/>
                <w:szCs w:val="24"/>
              </w:rPr>
              <w:t>en</w:t>
            </w:r>
            <w:r w:rsidRPr="00AC57F1">
              <w:rPr>
                <w:i/>
                <w:szCs w:val="24"/>
              </w:rPr>
              <w:t xml:space="preserve">t </w:t>
            </w:r>
            <w:r>
              <w:rPr>
                <w:i/>
                <w:szCs w:val="24"/>
              </w:rPr>
              <w:t xml:space="preserve">partis chercher des cornets de crème glacée </w:t>
            </w:r>
            <w:r w:rsidRPr="00E31271">
              <w:rPr>
                <w:szCs w:val="24"/>
              </w:rPr>
              <w:t>(…)</w:t>
            </w:r>
            <w:r>
              <w:rPr>
                <w:szCs w:val="24"/>
              </w:rPr>
              <w:t xml:space="preserve">. Le sujet </w:t>
            </w:r>
            <w:r>
              <w:rPr>
                <w:i/>
                <w:szCs w:val="24"/>
              </w:rPr>
              <w:t>Rémi et son frère</w:t>
            </w:r>
            <w:r>
              <w:rPr>
                <w:szCs w:val="24"/>
              </w:rPr>
              <w:t xml:space="preserve"> (deux GN coordonnés), 3</w:t>
            </w:r>
            <w:r w:rsidRPr="00933F2E">
              <w:rPr>
                <w:szCs w:val="24"/>
                <w:vertAlign w:val="superscript"/>
              </w:rPr>
              <w:t>e</w:t>
            </w:r>
            <w:r>
              <w:rPr>
                <w:szCs w:val="24"/>
              </w:rPr>
              <w:t xml:space="preserve"> pers. du </w:t>
            </w:r>
            <w:proofErr w:type="spellStart"/>
            <w:r>
              <w:rPr>
                <w:szCs w:val="24"/>
              </w:rPr>
              <w:t>plur</w:t>
            </w:r>
            <w:proofErr w:type="spellEnd"/>
            <w:r>
              <w:rPr>
                <w:szCs w:val="24"/>
              </w:rPr>
              <w:t xml:space="preserve">., donne sa personne et son nombre au verbe </w:t>
            </w:r>
            <w:r w:rsidRPr="00681DB7">
              <w:rPr>
                <w:i/>
                <w:szCs w:val="24"/>
              </w:rPr>
              <w:t>étai</w:t>
            </w:r>
            <w:r>
              <w:rPr>
                <w:i/>
                <w:szCs w:val="24"/>
              </w:rPr>
              <w:t>en</w:t>
            </w:r>
            <w:r w:rsidRPr="00681DB7">
              <w:rPr>
                <w:i/>
                <w:szCs w:val="24"/>
              </w:rPr>
              <w:t>t</w:t>
            </w:r>
            <w:r>
              <w:rPr>
                <w:szCs w:val="24"/>
              </w:rPr>
              <w:t>.</w:t>
            </w:r>
          </w:p>
          <w:p w:rsidR="00093AD3" w:rsidRPr="00770120" w:rsidRDefault="00093AD3" w:rsidP="00F45AE5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 xml:space="preserve">Si des élèves ont écrit </w:t>
            </w:r>
            <w:r w:rsidRPr="00300486">
              <w:rPr>
                <w:i/>
                <w:szCs w:val="24"/>
              </w:rPr>
              <w:t>été</w:t>
            </w:r>
            <w:r>
              <w:rPr>
                <w:szCs w:val="24"/>
              </w:rPr>
              <w:t xml:space="preserve">, on pourrait leur faire constater qu’il ne s’agit du participe passé du verbe </w:t>
            </w:r>
            <w:r w:rsidRPr="00300486">
              <w:rPr>
                <w:i/>
                <w:szCs w:val="24"/>
              </w:rPr>
              <w:t>être</w:t>
            </w:r>
            <w:r>
              <w:rPr>
                <w:szCs w:val="24"/>
              </w:rPr>
              <w:t>.</w:t>
            </w:r>
          </w:p>
        </w:tc>
      </w:tr>
      <w:tr w:rsidR="00093AD3" w:rsidRPr="00B029A0" w:rsidTr="00093AD3">
        <w:tc>
          <w:tcPr>
            <w:tcW w:w="2122" w:type="dxa"/>
          </w:tcPr>
          <w:p w:rsidR="00093AD3" w:rsidRDefault="00093AD3" w:rsidP="00F45AE5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partis</w:t>
            </w:r>
            <w:proofErr w:type="gramEnd"/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*parti</w:t>
            </w:r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proofErr w:type="spellStart"/>
            <w:r>
              <w:rPr>
                <w:szCs w:val="24"/>
              </w:rPr>
              <w:t>partits</w:t>
            </w:r>
            <w:proofErr w:type="spellEnd"/>
          </w:p>
        </w:tc>
        <w:tc>
          <w:tcPr>
            <w:tcW w:w="8079" w:type="dxa"/>
          </w:tcPr>
          <w:p w:rsidR="00093AD3" w:rsidRPr="00B029A0" w:rsidRDefault="00093AD3" w:rsidP="00F45AE5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Montrer</w:t>
            </w:r>
            <w:r w:rsidRPr="00B029A0">
              <w:rPr>
                <w:szCs w:val="24"/>
              </w:rPr>
              <w:t xml:space="preserve"> qu’il s’agit du participe passé du verbe (dans un temps composé</w:t>
            </w:r>
            <w:r>
              <w:rPr>
                <w:szCs w:val="24"/>
              </w:rPr>
              <w:t> : le plus-que-parfait</w:t>
            </w:r>
            <w:r w:rsidRPr="00B029A0">
              <w:rPr>
                <w:szCs w:val="24"/>
              </w:rPr>
              <w:t>)</w:t>
            </w:r>
            <w:r>
              <w:rPr>
                <w:szCs w:val="24"/>
              </w:rPr>
              <w:t xml:space="preserve">, qu’il est utilisé avec l’aux. </w:t>
            </w:r>
            <w:proofErr w:type="gramStart"/>
            <w:r>
              <w:rPr>
                <w:i/>
                <w:szCs w:val="24"/>
              </w:rPr>
              <w:t>ê</w:t>
            </w:r>
            <w:r w:rsidRPr="00754373">
              <w:rPr>
                <w:i/>
                <w:szCs w:val="24"/>
              </w:rPr>
              <w:t>tre</w:t>
            </w:r>
            <w:proofErr w:type="gramEnd"/>
            <w:r>
              <w:rPr>
                <w:szCs w:val="24"/>
              </w:rPr>
              <w:t xml:space="preserve"> et qu’en conséquence, il reçoit le genre et le nombre du sujet.</w:t>
            </w:r>
          </w:p>
          <w:p w:rsidR="00093AD3" w:rsidRDefault="00093AD3" w:rsidP="00093AD3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 w:rsidRPr="00B029A0">
              <w:rPr>
                <w:szCs w:val="24"/>
              </w:rPr>
              <w:t xml:space="preserve">On </w:t>
            </w:r>
            <w:r>
              <w:rPr>
                <w:szCs w:val="24"/>
              </w:rPr>
              <w:t xml:space="preserve">peut cerner le sujet en utilisant l’encadrement. Ex. : (…) </w:t>
            </w:r>
            <w:r>
              <w:rPr>
                <w:b/>
                <w:i/>
                <w:szCs w:val="24"/>
              </w:rPr>
              <w:t>Ce sont</w:t>
            </w:r>
            <w:r w:rsidRPr="00AC57F1">
              <w:rPr>
                <w:b/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Rémi et son frère </w:t>
            </w:r>
            <w:r w:rsidRPr="00AC57F1">
              <w:rPr>
                <w:b/>
                <w:i/>
                <w:szCs w:val="24"/>
              </w:rPr>
              <w:t>qui</w:t>
            </w:r>
            <w:r w:rsidRPr="00AC57F1">
              <w:rPr>
                <w:i/>
                <w:szCs w:val="24"/>
              </w:rPr>
              <w:t xml:space="preserve"> étai</w:t>
            </w:r>
            <w:r>
              <w:rPr>
                <w:i/>
                <w:szCs w:val="24"/>
              </w:rPr>
              <w:t>en</w:t>
            </w:r>
            <w:r w:rsidRPr="00AC57F1">
              <w:rPr>
                <w:i/>
                <w:szCs w:val="24"/>
              </w:rPr>
              <w:t xml:space="preserve">t </w:t>
            </w:r>
            <w:r>
              <w:rPr>
                <w:i/>
                <w:szCs w:val="24"/>
              </w:rPr>
              <w:t xml:space="preserve">partis chercher des cornets de </w:t>
            </w:r>
            <w:r w:rsidRPr="00053588">
              <w:rPr>
                <w:i/>
                <w:spacing w:val="-2"/>
                <w:szCs w:val="24"/>
              </w:rPr>
              <w:t xml:space="preserve">crème glacée </w:t>
            </w:r>
            <w:r w:rsidRPr="00053588">
              <w:rPr>
                <w:spacing w:val="-2"/>
                <w:szCs w:val="24"/>
              </w:rPr>
              <w:t xml:space="preserve">(…). Le sujet </w:t>
            </w:r>
            <w:r w:rsidRPr="00053588">
              <w:rPr>
                <w:i/>
                <w:spacing w:val="-2"/>
                <w:szCs w:val="24"/>
              </w:rPr>
              <w:t>Rémi et son frère</w:t>
            </w:r>
            <w:r w:rsidRPr="00053588">
              <w:rPr>
                <w:spacing w:val="-2"/>
                <w:szCs w:val="24"/>
              </w:rPr>
              <w:t xml:space="preserve"> (deux GN coordonnés)</w:t>
            </w:r>
            <w:r>
              <w:rPr>
                <w:szCs w:val="24"/>
              </w:rPr>
              <w:t xml:space="preserve"> donne son genre et son nombre au participe passé </w:t>
            </w:r>
            <w:r w:rsidRPr="00754373">
              <w:rPr>
                <w:i/>
                <w:szCs w:val="24"/>
              </w:rPr>
              <w:t>parti</w:t>
            </w:r>
            <w:r>
              <w:rPr>
                <w:i/>
                <w:szCs w:val="24"/>
              </w:rPr>
              <w:t>s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m.s</w:t>
            </w:r>
            <w:proofErr w:type="spellEnd"/>
            <w:r>
              <w:rPr>
                <w:szCs w:val="24"/>
              </w:rPr>
              <w:t xml:space="preserve">. + </w:t>
            </w:r>
            <w:proofErr w:type="spellStart"/>
            <w:r>
              <w:rPr>
                <w:szCs w:val="24"/>
              </w:rPr>
              <w:t>m.s</w:t>
            </w:r>
            <w:proofErr w:type="spellEnd"/>
            <w:r>
              <w:rPr>
                <w:szCs w:val="24"/>
              </w:rPr>
              <w:t xml:space="preserve">. = </w:t>
            </w:r>
            <w:proofErr w:type="spellStart"/>
            <w:r>
              <w:rPr>
                <w:szCs w:val="24"/>
              </w:rPr>
              <w:t>m.p</w:t>
            </w:r>
            <w:proofErr w:type="spellEnd"/>
            <w:r>
              <w:rPr>
                <w:szCs w:val="24"/>
              </w:rPr>
              <w:t>.).</w:t>
            </w:r>
          </w:p>
          <w:p w:rsidR="00093AD3" w:rsidRPr="00B029A0" w:rsidRDefault="00093AD3" w:rsidP="00F45AE5">
            <w:pPr>
              <w:spacing w:before="80" w:after="80"/>
              <w:rPr>
                <w:szCs w:val="24"/>
              </w:rPr>
            </w:pPr>
            <w:r w:rsidRPr="00B029A0">
              <w:rPr>
                <w:szCs w:val="24"/>
              </w:rPr>
              <w:t xml:space="preserve">On pourrait aussi </w:t>
            </w:r>
            <w:r>
              <w:rPr>
                <w:szCs w:val="24"/>
              </w:rPr>
              <w:t xml:space="preserve">en profiter pour faire </w:t>
            </w:r>
            <w:r w:rsidRPr="007F20F0">
              <w:rPr>
                <w:szCs w:val="24"/>
              </w:rPr>
              <w:t>apprendre</w:t>
            </w:r>
            <w:r>
              <w:rPr>
                <w:szCs w:val="24"/>
              </w:rPr>
              <w:t xml:space="preserve"> la terminaison de ce verbe au participe passé, par exemple à l’aide du remplacement du sujet masculin par un sujet féminin. Ex. : *</w:t>
            </w:r>
            <w:r>
              <w:rPr>
                <w:i/>
                <w:szCs w:val="24"/>
              </w:rPr>
              <w:t xml:space="preserve">Denise et sa sœur étaient </w:t>
            </w:r>
            <w:proofErr w:type="spellStart"/>
            <w:r w:rsidRPr="00D710C9">
              <w:rPr>
                <w:i/>
                <w:szCs w:val="24"/>
              </w:rPr>
              <w:t>partites</w:t>
            </w:r>
            <w:proofErr w:type="spellEnd"/>
            <w:r>
              <w:rPr>
                <w:szCs w:val="24"/>
              </w:rPr>
              <w:t xml:space="preserve"> (…).</w:t>
            </w:r>
          </w:p>
        </w:tc>
      </w:tr>
      <w:tr w:rsidR="00093AD3" w:rsidRPr="00B029A0" w:rsidTr="00093AD3">
        <w:tc>
          <w:tcPr>
            <w:tcW w:w="2122" w:type="dxa"/>
          </w:tcPr>
          <w:p w:rsidR="00093AD3" w:rsidRDefault="00093AD3" w:rsidP="00F45AE5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chercher</w:t>
            </w:r>
            <w:proofErr w:type="gramEnd"/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*cherché</w:t>
            </w:r>
          </w:p>
        </w:tc>
        <w:tc>
          <w:tcPr>
            <w:tcW w:w="8079" w:type="dxa"/>
          </w:tcPr>
          <w:p w:rsidR="00093AD3" w:rsidRDefault="00093AD3" w:rsidP="00F45AE5">
            <w:pPr>
              <w:spacing w:before="120"/>
              <w:rPr>
                <w:szCs w:val="24"/>
              </w:rPr>
            </w:pPr>
            <w:r w:rsidRPr="00B029A0">
              <w:rPr>
                <w:szCs w:val="24"/>
              </w:rPr>
              <w:t xml:space="preserve">Déterminer qu’il s’agit </w:t>
            </w:r>
            <w:r>
              <w:rPr>
                <w:szCs w:val="24"/>
              </w:rPr>
              <w:t>du verbe à l’infinitif.</w:t>
            </w:r>
          </w:p>
          <w:p w:rsidR="00093AD3" w:rsidRPr="00B029A0" w:rsidRDefault="00093AD3" w:rsidP="00093AD3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 w:rsidRPr="00B029A0">
              <w:rPr>
                <w:szCs w:val="24"/>
              </w:rPr>
              <w:t>On peut le remplacer par un autre verbe</w:t>
            </w:r>
            <w:r>
              <w:rPr>
                <w:szCs w:val="24"/>
              </w:rPr>
              <w:t xml:space="preserve"> à l’infinitif</w:t>
            </w:r>
            <w:r w:rsidRPr="00B029A0">
              <w:rPr>
                <w:szCs w:val="24"/>
              </w:rPr>
              <w:t xml:space="preserve">. Ex. : </w:t>
            </w:r>
            <w:r>
              <w:rPr>
                <w:i/>
                <w:szCs w:val="24"/>
              </w:rPr>
              <w:t xml:space="preserve">Rémi et son frère étaient partis </w:t>
            </w:r>
            <w:r w:rsidRPr="00AF26E9">
              <w:rPr>
                <w:b/>
                <w:i/>
                <w:szCs w:val="24"/>
              </w:rPr>
              <w:t>vendre</w:t>
            </w:r>
            <w:r>
              <w:rPr>
                <w:i/>
                <w:szCs w:val="24"/>
              </w:rPr>
              <w:t xml:space="preserve"> des cornets </w:t>
            </w:r>
            <w:r>
              <w:rPr>
                <w:szCs w:val="24"/>
              </w:rPr>
              <w:t xml:space="preserve">(…). </w:t>
            </w:r>
          </w:p>
          <w:p w:rsidR="00093AD3" w:rsidRDefault="00093AD3" w:rsidP="00F45AE5">
            <w:pPr>
              <w:pStyle w:val="Paragraphedeliste"/>
              <w:numPr>
                <w:ilvl w:val="0"/>
                <w:numId w:val="1"/>
              </w:numPr>
              <w:spacing w:after="120"/>
              <w:ind w:left="459" w:hanging="357"/>
              <w:contextualSpacing w:val="0"/>
              <w:rPr>
                <w:szCs w:val="24"/>
              </w:rPr>
            </w:pPr>
            <w:r w:rsidRPr="00B029A0">
              <w:rPr>
                <w:szCs w:val="24"/>
              </w:rPr>
              <w:t xml:space="preserve">On pourrait aussi prouver que ce n’est pas </w:t>
            </w:r>
            <w:r>
              <w:rPr>
                <w:szCs w:val="24"/>
              </w:rPr>
              <w:t xml:space="preserve">la deuxième partie d’un verbe à un temps composé en conjuguant le verbe à un temps simple (remplacement). Ex. : </w:t>
            </w:r>
            <w:r w:rsidRPr="00B029A0">
              <w:rPr>
                <w:szCs w:val="24"/>
              </w:rPr>
              <w:t>*</w:t>
            </w:r>
            <w:r>
              <w:rPr>
                <w:i/>
                <w:szCs w:val="24"/>
              </w:rPr>
              <w:t xml:space="preserve">Rémi et son frère étaient partis </w:t>
            </w:r>
            <w:r w:rsidRPr="00D710C9">
              <w:rPr>
                <w:b/>
                <w:i/>
                <w:szCs w:val="24"/>
              </w:rPr>
              <w:t>cherchaient</w:t>
            </w:r>
            <w:r>
              <w:rPr>
                <w:i/>
                <w:szCs w:val="24"/>
              </w:rPr>
              <w:t xml:space="preserve"> des cornets </w:t>
            </w:r>
            <w:r>
              <w:rPr>
                <w:szCs w:val="24"/>
              </w:rPr>
              <w:t>(…). La prononciation, ici très semblable, pourrait maintenir la confusion, mais, à l’imparfait, la phrase est agrammaticale.</w:t>
            </w:r>
          </w:p>
        </w:tc>
      </w:tr>
      <w:tr w:rsidR="00093AD3" w:rsidRPr="00B029A0" w:rsidTr="00093AD3">
        <w:tc>
          <w:tcPr>
            <w:tcW w:w="2122" w:type="dxa"/>
          </w:tcPr>
          <w:p w:rsidR="00093AD3" w:rsidRDefault="00093AD3" w:rsidP="00F45AE5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cornets</w:t>
            </w:r>
            <w:proofErr w:type="gramEnd"/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*cornet</w:t>
            </w:r>
          </w:p>
        </w:tc>
        <w:tc>
          <w:tcPr>
            <w:tcW w:w="8079" w:type="dxa"/>
          </w:tcPr>
          <w:p w:rsidR="00093AD3" w:rsidRDefault="00093AD3" w:rsidP="00F45AE5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Déterminer que </w:t>
            </w:r>
            <w:r w:rsidRPr="00D710C9">
              <w:rPr>
                <w:i/>
                <w:szCs w:val="24"/>
              </w:rPr>
              <w:t>cornet</w:t>
            </w:r>
            <w:r>
              <w:rPr>
                <w:szCs w:val="24"/>
              </w:rPr>
              <w:t xml:space="preserve"> est le noyau d’un GN, au pluriel.</w:t>
            </w:r>
          </w:p>
          <w:p w:rsidR="00093AD3" w:rsidRPr="00F00736" w:rsidRDefault="00093AD3" w:rsidP="00093AD3">
            <w:pPr>
              <w:pStyle w:val="Paragraphedeliste"/>
              <w:numPr>
                <w:ilvl w:val="0"/>
                <w:numId w:val="1"/>
              </w:numPr>
              <w:ind w:left="464"/>
              <w:rPr>
                <w:szCs w:val="24"/>
              </w:rPr>
            </w:pPr>
            <w:r w:rsidRPr="00B029A0">
              <w:rPr>
                <w:szCs w:val="24"/>
              </w:rPr>
              <w:t>On peut observer sa position dans la phrase (dans le GN</w:t>
            </w:r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des cornets de crème glacée au chocolat</w:t>
            </w:r>
            <w:r w:rsidRPr="00B029A0">
              <w:rPr>
                <w:szCs w:val="24"/>
              </w:rPr>
              <w:t>).</w:t>
            </w:r>
          </w:p>
          <w:p w:rsidR="00093AD3" w:rsidRDefault="00093AD3" w:rsidP="00F45AE5">
            <w:pPr>
              <w:pStyle w:val="Paragraphedeliste"/>
              <w:numPr>
                <w:ilvl w:val="0"/>
                <w:numId w:val="1"/>
              </w:numPr>
              <w:spacing w:after="120"/>
              <w:ind w:left="459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On peut faire remarquer que le déterminant </w:t>
            </w:r>
            <w:r w:rsidRPr="00263487">
              <w:rPr>
                <w:i/>
                <w:szCs w:val="24"/>
              </w:rPr>
              <w:t>des</w:t>
            </w:r>
            <w:r>
              <w:rPr>
                <w:szCs w:val="24"/>
              </w:rPr>
              <w:t xml:space="preserve">, pluriel, a nécessairement reçu la marque de nombre du noyau de ce GN </w:t>
            </w:r>
            <w:r w:rsidRPr="00627A07">
              <w:rPr>
                <w:i/>
                <w:szCs w:val="24"/>
              </w:rPr>
              <w:t>cornets</w:t>
            </w:r>
            <w:r>
              <w:rPr>
                <w:szCs w:val="24"/>
              </w:rPr>
              <w:t xml:space="preserve"> (donneur) </w:t>
            </w:r>
            <w:r w:rsidRPr="00263487">
              <w:rPr>
                <w:i/>
                <w:szCs w:val="24"/>
              </w:rPr>
              <w:t>cornet</w:t>
            </w:r>
            <w:r>
              <w:rPr>
                <w:i/>
                <w:szCs w:val="24"/>
              </w:rPr>
              <w:t>s</w:t>
            </w:r>
            <w:r>
              <w:rPr>
                <w:szCs w:val="24"/>
              </w:rPr>
              <w:t xml:space="preserve"> est au pluriel</w:t>
            </w:r>
            <w:r w:rsidRPr="00B029A0">
              <w:rPr>
                <w:szCs w:val="24"/>
              </w:rPr>
              <w:t xml:space="preserve">. </w:t>
            </w:r>
          </w:p>
        </w:tc>
      </w:tr>
      <w:tr w:rsidR="00093AD3" w:rsidRPr="00B029A0" w:rsidTr="00093AD3">
        <w:tc>
          <w:tcPr>
            <w:tcW w:w="2122" w:type="dxa"/>
          </w:tcPr>
          <w:p w:rsidR="00093AD3" w:rsidRDefault="00093AD3" w:rsidP="00F45AE5">
            <w:pPr>
              <w:spacing w:before="80"/>
              <w:rPr>
                <w:szCs w:val="24"/>
              </w:rPr>
            </w:pPr>
            <w:proofErr w:type="gramStart"/>
            <w:r>
              <w:rPr>
                <w:szCs w:val="24"/>
              </w:rPr>
              <w:t>crème</w:t>
            </w:r>
            <w:proofErr w:type="gramEnd"/>
            <w:r>
              <w:rPr>
                <w:szCs w:val="24"/>
              </w:rPr>
              <w:t xml:space="preserve"> glacée</w:t>
            </w:r>
          </w:p>
          <w:p w:rsidR="00093AD3" w:rsidRDefault="00093AD3" w:rsidP="00680BE4">
            <w:pPr>
              <w:rPr>
                <w:szCs w:val="24"/>
              </w:rPr>
            </w:pPr>
            <w:r>
              <w:rPr>
                <w:szCs w:val="24"/>
              </w:rPr>
              <w:t>*crèmes glacées</w:t>
            </w:r>
          </w:p>
        </w:tc>
        <w:tc>
          <w:tcPr>
            <w:tcW w:w="8079" w:type="dxa"/>
          </w:tcPr>
          <w:p w:rsidR="00093AD3" w:rsidRDefault="00093AD3" w:rsidP="00F45AE5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Déterminer que, dans ce contexte, le nom complexe </w:t>
            </w:r>
            <w:r w:rsidRPr="00D710C9">
              <w:rPr>
                <w:i/>
                <w:szCs w:val="24"/>
              </w:rPr>
              <w:t>crème glacée</w:t>
            </w:r>
            <w:r>
              <w:rPr>
                <w:szCs w:val="24"/>
              </w:rPr>
              <w:t xml:space="preserve"> est non comptable.</w:t>
            </w:r>
          </w:p>
          <w:p w:rsidR="00093AD3" w:rsidRDefault="00093AD3" w:rsidP="007F20F0">
            <w:pPr>
              <w:pStyle w:val="Paragraphedeliste"/>
              <w:numPr>
                <w:ilvl w:val="0"/>
                <w:numId w:val="1"/>
              </w:numPr>
              <w:spacing w:after="80"/>
              <w:ind w:left="459" w:hanging="357"/>
              <w:contextualSpacing w:val="0"/>
              <w:rPr>
                <w:szCs w:val="24"/>
              </w:rPr>
            </w:pPr>
            <w:r>
              <w:rPr>
                <w:szCs w:val="24"/>
              </w:rPr>
              <w:t xml:space="preserve">On peut le remplacer par </w:t>
            </w:r>
            <w:r w:rsidRPr="007869B0">
              <w:rPr>
                <w:i/>
                <w:szCs w:val="24"/>
              </w:rPr>
              <w:t>des cornets de sucre d’érable</w:t>
            </w:r>
            <w:r>
              <w:rPr>
                <w:szCs w:val="24"/>
              </w:rPr>
              <w:t xml:space="preserve"> (les élèves sachant généralement que le sucre ne se compte pas).</w:t>
            </w:r>
          </w:p>
          <w:p w:rsidR="00093AD3" w:rsidRPr="007869B0" w:rsidRDefault="00093AD3" w:rsidP="007F20F0">
            <w:pPr>
              <w:spacing w:before="80" w:after="80"/>
              <w:rPr>
                <w:szCs w:val="24"/>
              </w:rPr>
            </w:pPr>
            <w:r>
              <w:rPr>
                <w:szCs w:val="24"/>
              </w:rPr>
              <w:t xml:space="preserve">On pourrait ensuite insérer le nom </w:t>
            </w:r>
            <w:r w:rsidRPr="007869B0">
              <w:rPr>
                <w:i/>
                <w:szCs w:val="24"/>
              </w:rPr>
              <w:t>crème glacée</w:t>
            </w:r>
            <w:r>
              <w:rPr>
                <w:szCs w:val="24"/>
              </w:rPr>
              <w:t xml:space="preserve"> dans un contexte où il serait comptable. Ex. : </w:t>
            </w:r>
            <w:r w:rsidRPr="007869B0">
              <w:rPr>
                <w:i/>
                <w:szCs w:val="24"/>
              </w:rPr>
              <w:t>Ce marchand offrait des crèmes glacées artisanales.</w:t>
            </w:r>
          </w:p>
        </w:tc>
      </w:tr>
    </w:tbl>
    <w:p w:rsidR="00093AD3" w:rsidRDefault="00093AD3" w:rsidP="00093A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3AD3" w:rsidRDefault="00093AD3" w:rsidP="00093AD3">
      <w:pPr>
        <w:spacing w:after="0" w:line="240" w:lineRule="auto"/>
        <w:rPr>
          <w:sz w:val="24"/>
          <w:szCs w:val="24"/>
        </w:rPr>
      </w:pPr>
    </w:p>
    <w:p w:rsidR="00DE625E" w:rsidRPr="002129DF" w:rsidRDefault="00DE625E" w:rsidP="00DE625E">
      <w:pPr>
        <w:spacing w:after="0" w:line="240" w:lineRule="auto"/>
        <w:jc w:val="both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Autres phrases pour la </w:t>
      </w:r>
      <w:r w:rsidRPr="002129DF">
        <w:rPr>
          <w:b/>
          <w:color w:val="0070C0"/>
          <w:sz w:val="24"/>
          <w:szCs w:val="24"/>
        </w:rPr>
        <w:t>1</w:t>
      </w:r>
      <w:r w:rsidRPr="002129DF">
        <w:rPr>
          <w:b/>
          <w:color w:val="0070C0"/>
          <w:sz w:val="24"/>
          <w:szCs w:val="24"/>
          <w:vertAlign w:val="superscript"/>
        </w:rPr>
        <w:t>re</w:t>
      </w:r>
      <w:r w:rsidRPr="002129DF">
        <w:rPr>
          <w:b/>
          <w:color w:val="0070C0"/>
          <w:sz w:val="24"/>
          <w:szCs w:val="24"/>
        </w:rPr>
        <w:t xml:space="preserve"> secondaire :</w:t>
      </w:r>
    </w:p>
    <w:p w:rsidR="00DE625E" w:rsidRDefault="00DE625E" w:rsidP="00DE625E">
      <w:pPr>
        <w:jc w:val="both"/>
        <w:rPr>
          <w:sz w:val="24"/>
          <w:szCs w:val="24"/>
        </w:rPr>
      </w:pPr>
    </w:p>
    <w:p w:rsidR="00DE625E" w:rsidRPr="00053588" w:rsidRDefault="00DE625E" w:rsidP="00DE625E">
      <w:pPr>
        <w:rPr>
          <w:rFonts w:ascii="Century Gothic" w:hAnsi="Century Gothic"/>
          <w:sz w:val="24"/>
          <w:szCs w:val="24"/>
        </w:rPr>
      </w:pPr>
      <w:r w:rsidRPr="00053588">
        <w:rPr>
          <w:rFonts w:ascii="Century Gothic" w:hAnsi="Century Gothic"/>
          <w:sz w:val="24"/>
          <w:szCs w:val="24"/>
        </w:rPr>
        <w:t>Sur la scène, de joyeux comédiens hurlaient de rire devant les spectateurs étonnés.</w:t>
      </w:r>
    </w:p>
    <w:p w:rsidR="00DE625E" w:rsidRPr="00053588" w:rsidRDefault="00DE625E" w:rsidP="00DE625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E625E" w:rsidRDefault="00DE625E" w:rsidP="00DE625E">
      <w:pPr>
        <w:rPr>
          <w:rFonts w:ascii="Century Gothic" w:hAnsi="Century Gothic"/>
          <w:sz w:val="24"/>
          <w:szCs w:val="24"/>
        </w:rPr>
      </w:pPr>
      <w:r w:rsidRPr="00053588">
        <w:rPr>
          <w:rFonts w:ascii="Century Gothic" w:hAnsi="Century Gothic"/>
          <w:sz w:val="24"/>
          <w:szCs w:val="24"/>
        </w:rPr>
        <w:t>Ce soir, les étudiants qui veulent participer à la course se réuniront pour s’entrainer sur la piste éclairée.</w:t>
      </w:r>
    </w:p>
    <w:p w:rsidR="00DE625E" w:rsidRPr="00053588" w:rsidRDefault="00DE625E" w:rsidP="00DE625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E625E" w:rsidRDefault="00DE625E" w:rsidP="00DE625E">
      <w:pPr>
        <w:rPr>
          <w:rFonts w:ascii="Century Gothic" w:hAnsi="Century Gothic"/>
          <w:sz w:val="24"/>
          <w:szCs w:val="24"/>
        </w:rPr>
      </w:pPr>
      <w:r w:rsidRPr="00D65C4F">
        <w:rPr>
          <w:rFonts w:ascii="Century Gothic" w:hAnsi="Century Gothic"/>
          <w:sz w:val="24"/>
          <w:szCs w:val="24"/>
        </w:rPr>
        <w:t xml:space="preserve">La légèreté des flocons de neige les faisait virevolter dans tous les sens. </w:t>
      </w:r>
    </w:p>
    <w:p w:rsidR="00DE625E" w:rsidRPr="00D65C4F" w:rsidRDefault="00DE625E" w:rsidP="00DE625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E625E" w:rsidRDefault="00DE625E" w:rsidP="00DE625E">
      <w:pPr>
        <w:rPr>
          <w:rFonts w:ascii="Century Gothic" w:hAnsi="Century Gothic"/>
          <w:sz w:val="24"/>
          <w:szCs w:val="24"/>
        </w:rPr>
      </w:pPr>
      <w:r w:rsidRPr="00D65C4F">
        <w:rPr>
          <w:rFonts w:ascii="Century Gothic" w:hAnsi="Century Gothic"/>
          <w:sz w:val="24"/>
          <w:szCs w:val="24"/>
        </w:rPr>
        <w:t xml:space="preserve">Madame Bouquet fera des miracles avec les plantes tropicales de sa voisine. </w:t>
      </w:r>
    </w:p>
    <w:p w:rsidR="00DE625E" w:rsidRPr="00D65C4F" w:rsidRDefault="00DE625E" w:rsidP="00DE625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E625E" w:rsidRPr="00D65C4F" w:rsidRDefault="00DE625E" w:rsidP="00DE625E">
      <w:pPr>
        <w:rPr>
          <w:rFonts w:ascii="Century Gothic" w:hAnsi="Century Gothic"/>
          <w:sz w:val="24"/>
          <w:szCs w:val="24"/>
        </w:rPr>
      </w:pPr>
      <w:r w:rsidRPr="00D65C4F">
        <w:rPr>
          <w:rFonts w:ascii="Century Gothic" w:hAnsi="Century Gothic"/>
          <w:sz w:val="24"/>
          <w:szCs w:val="24"/>
        </w:rPr>
        <w:t>Le chat de mes voisins, plus énervé que jamais, mordillait avec frénésie le tapis du salon.</w:t>
      </w:r>
    </w:p>
    <w:p w:rsidR="00093AD3" w:rsidRPr="00DE625E" w:rsidRDefault="00093AD3" w:rsidP="00DE625E">
      <w:pPr>
        <w:rPr>
          <w:rFonts w:ascii="Century Gothic" w:hAnsi="Century Gothic"/>
          <w:sz w:val="24"/>
          <w:szCs w:val="24"/>
        </w:rPr>
      </w:pPr>
    </w:p>
    <w:sectPr w:rsidR="00093AD3" w:rsidRPr="00DE625E" w:rsidSect="00F45AE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135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BA" w:rsidRDefault="00911FBA" w:rsidP="00C031D0">
      <w:pPr>
        <w:spacing w:after="0" w:line="240" w:lineRule="auto"/>
      </w:pPr>
      <w:r>
        <w:separator/>
      </w:r>
    </w:p>
  </w:endnote>
  <w:endnote w:type="continuationSeparator" w:id="0">
    <w:p w:rsidR="00911FBA" w:rsidRDefault="00911FBA" w:rsidP="00C0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008908"/>
      <w:docPartObj>
        <w:docPartGallery w:val="Page Numbers (Bottom of Page)"/>
        <w:docPartUnique/>
      </w:docPartObj>
    </w:sdtPr>
    <w:sdtEndPr/>
    <w:sdtContent>
      <w:p w:rsidR="007D774F" w:rsidRDefault="007D774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0F0" w:rsidRPr="007F20F0">
          <w:rPr>
            <w:noProof/>
            <w:lang w:val="fr-FR"/>
          </w:rPr>
          <w:t>2</w:t>
        </w:r>
        <w:r>
          <w:fldChar w:fldCharType="end"/>
        </w:r>
      </w:p>
    </w:sdtContent>
  </w:sdt>
  <w:p w:rsidR="00911FBA" w:rsidRPr="009F0A29" w:rsidRDefault="00A46A01" w:rsidP="007D774F">
    <w:pPr>
      <w:pStyle w:val="Pieddepage"/>
      <w:tabs>
        <w:tab w:val="clear" w:pos="8640"/>
        <w:tab w:val="right" w:pos="10065"/>
      </w:tabs>
      <w:rPr>
        <w:sz w:val="20"/>
      </w:rPr>
    </w:pPr>
    <w:r>
      <w:rPr>
        <w:sz w:val="18"/>
      </w:rPr>
      <w:t xml:space="preserve">Élaboré </w:t>
    </w:r>
    <w:r w:rsidRPr="00F70D9B">
      <w:rPr>
        <w:sz w:val="18"/>
      </w:rPr>
      <w:t>Stéphanie Gagnon en collaboration avec Jean-François Tremblay, tous deux CP de français au secondaire.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01" w:rsidRDefault="00A46A01" w:rsidP="00A46A01">
    <w:pPr>
      <w:pStyle w:val="Pieddepage"/>
      <w:tabs>
        <w:tab w:val="clear" w:pos="8640"/>
        <w:tab w:val="right" w:pos="10065"/>
      </w:tabs>
    </w:pPr>
    <w:r>
      <w:rPr>
        <w:sz w:val="18"/>
      </w:rPr>
      <w:t xml:space="preserve">Élaboré </w:t>
    </w:r>
    <w:r w:rsidRPr="00F70D9B">
      <w:rPr>
        <w:sz w:val="18"/>
      </w:rPr>
      <w:t>Stéphanie Gagnon en collaboration avec Jean-François Tremblay, tous deux CP de français au secondaire.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BA" w:rsidRDefault="00911FBA" w:rsidP="00C031D0">
      <w:pPr>
        <w:spacing w:after="0" w:line="240" w:lineRule="auto"/>
      </w:pPr>
      <w:r>
        <w:separator/>
      </w:r>
    </w:p>
  </w:footnote>
  <w:footnote w:type="continuationSeparator" w:id="0">
    <w:p w:rsidR="00911FBA" w:rsidRDefault="00911FBA" w:rsidP="00C031D0">
      <w:pPr>
        <w:spacing w:after="0" w:line="240" w:lineRule="auto"/>
      </w:pPr>
      <w:r>
        <w:continuationSeparator/>
      </w:r>
    </w:p>
  </w:footnote>
  <w:footnote w:id="1">
    <w:p w:rsidR="00911FBA" w:rsidRDefault="00911FBA" w:rsidP="004750FB">
      <w:pPr>
        <w:pStyle w:val="Notedebasdepage"/>
        <w:spacing w:after="120"/>
        <w:jc w:val="both"/>
      </w:pPr>
      <w:r>
        <w:rPr>
          <w:rStyle w:val="Appelnotedebasdep"/>
        </w:rPr>
        <w:footnoteRef/>
      </w:r>
      <w:r>
        <w:t xml:space="preserve"> Notons que le transfert des apprentissages ne saurait être assuré complètement avec ces dictées : il s’avère important de proposer aux élèves de courtes tâches d’écriture lors desquelles ils auront à mobiliser les connaissances acquises dans leurs propres phrases, dans leurs propres tournures.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BA" w:rsidRDefault="00911FBA">
    <w:pPr>
      <w:pStyle w:val="En-tte"/>
    </w:pPr>
    <w:r>
      <w:rPr>
        <w:noProof/>
        <w:lang w:eastAsia="fr-CA"/>
      </w:rPr>
      <w:drawing>
        <wp:inline distT="0" distB="0" distL="0" distR="0">
          <wp:extent cx="1101114" cy="471225"/>
          <wp:effectExtent l="0" t="0" r="3810" b="508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DM-rv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37" cy="49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74F" w:rsidRDefault="007D774F">
    <w:pPr>
      <w:pStyle w:val="En-tte"/>
    </w:pPr>
    <w:r>
      <w:rPr>
        <w:noProof/>
        <w:lang w:eastAsia="fr-CA"/>
      </w:rPr>
      <w:drawing>
        <wp:inline distT="0" distB="0" distL="0" distR="0" wp14:anchorId="6FE1D76A" wp14:editId="4611F817">
          <wp:extent cx="1101114" cy="471225"/>
          <wp:effectExtent l="0" t="0" r="3810" b="508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DM-rvb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37" cy="493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17E6"/>
    <w:multiLevelType w:val="hybridMultilevel"/>
    <w:tmpl w:val="4B789D12"/>
    <w:lvl w:ilvl="0" w:tplc="FEE8C4B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oNotShadeFormData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00"/>
    <w:rsid w:val="00093AD3"/>
    <w:rsid w:val="000B51AC"/>
    <w:rsid w:val="00121FB5"/>
    <w:rsid w:val="00134151"/>
    <w:rsid w:val="003D444B"/>
    <w:rsid w:val="004750FB"/>
    <w:rsid w:val="00542D9F"/>
    <w:rsid w:val="00767D0B"/>
    <w:rsid w:val="007749A4"/>
    <w:rsid w:val="007D774F"/>
    <w:rsid w:val="007F20F0"/>
    <w:rsid w:val="00860600"/>
    <w:rsid w:val="00911FBA"/>
    <w:rsid w:val="009F0A29"/>
    <w:rsid w:val="00A46A01"/>
    <w:rsid w:val="00C031D0"/>
    <w:rsid w:val="00DD247D"/>
    <w:rsid w:val="00DE625E"/>
    <w:rsid w:val="00E36666"/>
    <w:rsid w:val="00F45AE5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FD403"/>
  <w15:chartTrackingRefBased/>
  <w15:docId w15:val="{317269DF-CB02-45C5-92F5-508E03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31D0"/>
  </w:style>
  <w:style w:type="paragraph" w:styleId="Pieddepage">
    <w:name w:val="footer"/>
    <w:basedOn w:val="Normal"/>
    <w:link w:val="PieddepageCar"/>
    <w:uiPriority w:val="99"/>
    <w:unhideWhenUsed/>
    <w:rsid w:val="00C031D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31D0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31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31D0"/>
    <w:rPr>
      <w:i/>
      <w:iCs/>
      <w:color w:val="5B9BD5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1F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1F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21FB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67D0B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9F0A29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0B51AC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0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req.qc.ca/wp-content/uploads/2019/05/Enseigner-la-grammaire-actuelle_9ma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60B7-43FD-4851-8502-CC956E36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 Jean-François</dc:creator>
  <cp:keywords/>
  <dc:description/>
  <cp:lastModifiedBy>Tremblay Jean-François</cp:lastModifiedBy>
  <cp:revision>9</cp:revision>
  <dcterms:created xsi:type="dcterms:W3CDTF">2021-05-18T12:14:00Z</dcterms:created>
  <dcterms:modified xsi:type="dcterms:W3CDTF">2021-05-19T19:00:00Z</dcterms:modified>
</cp:coreProperties>
</file>