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74F" w:rsidRDefault="007D774F" w:rsidP="009F0A29">
      <w:pPr>
        <w:pStyle w:val="En-tte"/>
        <w:spacing w:before="120"/>
      </w:pPr>
    </w:p>
    <w:p w:rsidR="00542D9F" w:rsidRDefault="00542D9F" w:rsidP="009F0A29">
      <w:pPr>
        <w:pStyle w:val="En-tte"/>
        <w:spacing w:before="120"/>
      </w:pPr>
      <w:r>
        <w:t xml:space="preserve">Version modifiée par </w:t>
      </w:r>
      <w:r w:rsidR="004750FB" w:rsidRPr="004750FB">
        <w:rPr>
          <w:highlight w:val="lightGray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4750FB" w:rsidRPr="004750FB">
        <w:rPr>
          <w:highlight w:val="lightGray"/>
        </w:rPr>
        <w:instrText xml:space="preserve"> FORMTEXT </w:instrText>
      </w:r>
      <w:r w:rsidR="004750FB" w:rsidRPr="004750FB">
        <w:rPr>
          <w:highlight w:val="lightGray"/>
        </w:rPr>
      </w:r>
      <w:r w:rsidR="004750FB" w:rsidRPr="004750FB">
        <w:rPr>
          <w:highlight w:val="lightGray"/>
        </w:rPr>
        <w:fldChar w:fldCharType="separate"/>
      </w:r>
      <w:r w:rsidR="004750FB" w:rsidRPr="004750FB">
        <w:rPr>
          <w:noProof/>
          <w:highlight w:val="lightGray"/>
        </w:rPr>
        <w:t> </w:t>
      </w:r>
      <w:r w:rsidR="004750FB" w:rsidRPr="004750FB">
        <w:rPr>
          <w:noProof/>
          <w:highlight w:val="lightGray"/>
        </w:rPr>
        <w:t> </w:t>
      </w:r>
      <w:r w:rsidR="004750FB" w:rsidRPr="004750FB">
        <w:rPr>
          <w:noProof/>
          <w:highlight w:val="lightGray"/>
        </w:rPr>
        <w:t> </w:t>
      </w:r>
      <w:r w:rsidR="004750FB" w:rsidRPr="004750FB">
        <w:rPr>
          <w:noProof/>
          <w:highlight w:val="lightGray"/>
        </w:rPr>
        <w:t> </w:t>
      </w:r>
      <w:r w:rsidR="004750FB" w:rsidRPr="004750FB">
        <w:rPr>
          <w:noProof/>
          <w:highlight w:val="lightGray"/>
        </w:rPr>
        <w:t> </w:t>
      </w:r>
      <w:r w:rsidR="004750FB" w:rsidRPr="004750FB">
        <w:rPr>
          <w:highlight w:val="lightGray"/>
        </w:rPr>
        <w:fldChar w:fldCharType="end"/>
      </w:r>
      <w:bookmarkEnd w:id="0"/>
    </w:p>
    <w:p w:rsidR="00542D9F" w:rsidRDefault="00542D9F" w:rsidP="00542D9F">
      <w:pPr>
        <w:pStyle w:val="En-tte"/>
      </w:pPr>
      <w:r>
        <w:t xml:space="preserve">De l’école </w:t>
      </w:r>
      <w:r w:rsidR="004750FB" w:rsidRPr="004750FB">
        <w:rPr>
          <w:highlight w:val="lightGray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750FB" w:rsidRPr="004750FB">
        <w:rPr>
          <w:highlight w:val="lightGray"/>
        </w:rPr>
        <w:instrText xml:space="preserve"> FORMTEXT </w:instrText>
      </w:r>
      <w:r w:rsidR="004750FB" w:rsidRPr="004750FB">
        <w:rPr>
          <w:highlight w:val="lightGray"/>
        </w:rPr>
      </w:r>
      <w:r w:rsidR="004750FB" w:rsidRPr="004750FB">
        <w:rPr>
          <w:highlight w:val="lightGray"/>
        </w:rPr>
        <w:fldChar w:fldCharType="separate"/>
      </w:r>
      <w:r w:rsidR="004750FB" w:rsidRPr="004750FB">
        <w:rPr>
          <w:noProof/>
          <w:highlight w:val="lightGray"/>
        </w:rPr>
        <w:t> </w:t>
      </w:r>
      <w:r w:rsidR="004750FB" w:rsidRPr="004750FB">
        <w:rPr>
          <w:noProof/>
          <w:highlight w:val="lightGray"/>
        </w:rPr>
        <w:t> </w:t>
      </w:r>
      <w:r w:rsidR="004750FB" w:rsidRPr="004750FB">
        <w:rPr>
          <w:noProof/>
          <w:highlight w:val="lightGray"/>
        </w:rPr>
        <w:t> </w:t>
      </w:r>
      <w:r w:rsidR="004750FB" w:rsidRPr="004750FB">
        <w:rPr>
          <w:noProof/>
          <w:highlight w:val="lightGray"/>
        </w:rPr>
        <w:t> </w:t>
      </w:r>
      <w:r w:rsidR="004750FB" w:rsidRPr="004750FB">
        <w:rPr>
          <w:noProof/>
          <w:highlight w:val="lightGray"/>
        </w:rPr>
        <w:t> </w:t>
      </w:r>
      <w:r w:rsidR="004750FB" w:rsidRPr="004750FB">
        <w:rPr>
          <w:highlight w:val="lightGray"/>
        </w:rPr>
        <w:fldChar w:fldCharType="end"/>
      </w:r>
    </w:p>
    <w:p w:rsidR="00FA092A" w:rsidRDefault="00FA092A" w:rsidP="00542D9F">
      <w:pPr>
        <w:pStyle w:val="En-tte"/>
      </w:pPr>
    </w:p>
    <w:p w:rsidR="00C031D0" w:rsidRPr="007D774F" w:rsidRDefault="00C031D0" w:rsidP="009F0A29">
      <w:pPr>
        <w:pStyle w:val="Citationintense"/>
        <w:spacing w:before="240"/>
        <w:ind w:left="0" w:right="-6"/>
        <w:rPr>
          <w:b/>
          <w:i w:val="0"/>
          <w:sz w:val="26"/>
          <w:szCs w:val="26"/>
        </w:rPr>
      </w:pPr>
      <w:r w:rsidRPr="007D774F">
        <w:rPr>
          <w:b/>
          <w:i w:val="0"/>
          <w:sz w:val="26"/>
          <w:szCs w:val="26"/>
        </w:rPr>
        <w:t xml:space="preserve">Banque de phrases à utiliser pour </w:t>
      </w:r>
      <w:r w:rsidR="00121FB5" w:rsidRPr="007D774F">
        <w:rPr>
          <w:b/>
          <w:i w:val="0"/>
          <w:sz w:val="26"/>
          <w:szCs w:val="26"/>
        </w:rPr>
        <w:t>des dictées d’apprentissage</w:t>
      </w:r>
      <w:r w:rsidR="00F70D9B">
        <w:rPr>
          <w:b/>
          <w:i w:val="0"/>
          <w:sz w:val="26"/>
          <w:szCs w:val="26"/>
        </w:rPr>
        <w:t xml:space="preserve"> – 2</w:t>
      </w:r>
      <w:r w:rsidRPr="007D774F">
        <w:rPr>
          <w:b/>
          <w:i w:val="0"/>
          <w:sz w:val="26"/>
          <w:szCs w:val="26"/>
          <w:vertAlign w:val="superscript"/>
        </w:rPr>
        <w:t>e</w:t>
      </w:r>
      <w:r w:rsidR="00FA092A" w:rsidRPr="007D774F">
        <w:rPr>
          <w:b/>
          <w:i w:val="0"/>
          <w:sz w:val="26"/>
          <w:szCs w:val="26"/>
        </w:rPr>
        <w:t> </w:t>
      </w:r>
      <w:r w:rsidRPr="007D774F">
        <w:rPr>
          <w:b/>
          <w:i w:val="0"/>
          <w:sz w:val="26"/>
          <w:szCs w:val="26"/>
        </w:rPr>
        <w:t>secondaire</w:t>
      </w:r>
    </w:p>
    <w:p w:rsidR="000B51AC" w:rsidRDefault="00134151" w:rsidP="00C031D0">
      <w:pPr>
        <w:jc w:val="both"/>
        <w:rPr>
          <w:sz w:val="24"/>
        </w:rPr>
      </w:pPr>
      <w:r>
        <w:rPr>
          <w:sz w:val="24"/>
        </w:rPr>
        <w:t xml:space="preserve">Nous présentons dans ce document </w:t>
      </w:r>
      <w:r w:rsidR="00DD247D">
        <w:rPr>
          <w:sz w:val="24"/>
        </w:rPr>
        <w:t>quelques</w:t>
      </w:r>
      <w:r>
        <w:rPr>
          <w:sz w:val="24"/>
        </w:rPr>
        <w:t xml:space="preserve"> phrases pouvant être utilisées dans le cadre de dictées d’apprentissage. </w:t>
      </w:r>
      <w:r w:rsidRPr="00134151">
        <w:rPr>
          <w:sz w:val="24"/>
        </w:rPr>
        <w:t xml:space="preserve">Aussi appelées </w:t>
      </w:r>
      <w:r>
        <w:rPr>
          <w:sz w:val="24"/>
        </w:rPr>
        <w:t>« </w:t>
      </w:r>
      <w:r w:rsidRPr="00134151">
        <w:rPr>
          <w:sz w:val="24"/>
        </w:rPr>
        <w:t>dictées métacognitives</w:t>
      </w:r>
      <w:r>
        <w:rPr>
          <w:sz w:val="24"/>
        </w:rPr>
        <w:t> »</w:t>
      </w:r>
      <w:r w:rsidRPr="00134151">
        <w:rPr>
          <w:sz w:val="24"/>
        </w:rPr>
        <w:t xml:space="preserve">, </w:t>
      </w:r>
      <w:r>
        <w:rPr>
          <w:sz w:val="24"/>
        </w:rPr>
        <w:t>ces dernières</w:t>
      </w:r>
      <w:r w:rsidRPr="00134151">
        <w:rPr>
          <w:sz w:val="24"/>
        </w:rPr>
        <w:t xml:space="preserve"> </w:t>
      </w:r>
      <w:r>
        <w:rPr>
          <w:sz w:val="24"/>
        </w:rPr>
        <w:t>constituent des activités favorisant l’utilisation de la grammaire à l’écrit ou, en d’autres mots, le transfert des apprentissages grammaticaux</w:t>
      </w:r>
      <w:r>
        <w:rPr>
          <w:rStyle w:val="Appelnotedebasdep"/>
          <w:sz w:val="24"/>
        </w:rPr>
        <w:footnoteReference w:id="1"/>
      </w:r>
      <w:r w:rsidR="003D444B">
        <w:rPr>
          <w:sz w:val="24"/>
        </w:rPr>
        <w:t>, et ce, par le biais de discussions et d’échanges</w:t>
      </w:r>
      <w:r w:rsidRPr="00134151">
        <w:rPr>
          <w:sz w:val="24"/>
        </w:rPr>
        <w:t xml:space="preserve">. </w:t>
      </w:r>
      <w:r w:rsidR="00911FBA">
        <w:rPr>
          <w:sz w:val="24"/>
        </w:rPr>
        <w:t>C</w:t>
      </w:r>
      <w:r w:rsidR="003D444B">
        <w:rPr>
          <w:sz w:val="24"/>
        </w:rPr>
        <w:t>es activités de résolution de problèmes</w:t>
      </w:r>
      <w:r w:rsidR="00911FBA">
        <w:rPr>
          <w:sz w:val="24"/>
        </w:rPr>
        <w:t xml:space="preserve"> ne servent pas à l’évaluation</w:t>
      </w:r>
      <w:r w:rsidR="000B51AC">
        <w:rPr>
          <w:sz w:val="24"/>
        </w:rPr>
        <w:t xml:space="preserve"> (elles ne comptent pas)</w:t>
      </w:r>
      <w:r w:rsidR="00911FBA">
        <w:rPr>
          <w:sz w:val="24"/>
        </w:rPr>
        <w:t xml:space="preserve"> et</w:t>
      </w:r>
      <w:r w:rsidR="003D444B">
        <w:rPr>
          <w:sz w:val="24"/>
        </w:rPr>
        <w:t xml:space="preserve"> l</w:t>
      </w:r>
      <w:r w:rsidR="003D444B" w:rsidRPr="00134151">
        <w:rPr>
          <w:sz w:val="24"/>
        </w:rPr>
        <w:t xml:space="preserve">’erreur </w:t>
      </w:r>
      <w:r w:rsidR="00911FBA">
        <w:rPr>
          <w:sz w:val="24"/>
        </w:rPr>
        <w:t xml:space="preserve">y </w:t>
      </w:r>
      <w:r w:rsidR="003D444B">
        <w:rPr>
          <w:sz w:val="24"/>
        </w:rPr>
        <w:t>est</w:t>
      </w:r>
      <w:r w:rsidR="003D444B" w:rsidRPr="00134151">
        <w:rPr>
          <w:sz w:val="24"/>
        </w:rPr>
        <w:t xml:space="preserve"> </w:t>
      </w:r>
      <w:r w:rsidR="003D444B">
        <w:rPr>
          <w:sz w:val="24"/>
        </w:rPr>
        <w:t xml:space="preserve">présentée aux élèves comme </w:t>
      </w:r>
      <w:r w:rsidR="003D444B" w:rsidRPr="00134151">
        <w:rPr>
          <w:sz w:val="24"/>
        </w:rPr>
        <w:t>un</w:t>
      </w:r>
      <w:r w:rsidR="00F70D9B">
        <w:rPr>
          <w:sz w:val="24"/>
        </w:rPr>
        <w:t>e</w:t>
      </w:r>
      <w:r w:rsidR="003D444B" w:rsidRPr="00134151">
        <w:rPr>
          <w:sz w:val="24"/>
        </w:rPr>
        <w:t xml:space="preserve"> </w:t>
      </w:r>
      <w:r w:rsidR="00F70D9B">
        <w:rPr>
          <w:sz w:val="24"/>
        </w:rPr>
        <w:t xml:space="preserve">occasion </w:t>
      </w:r>
      <w:r w:rsidR="003D444B" w:rsidRPr="00134151">
        <w:rPr>
          <w:sz w:val="24"/>
        </w:rPr>
        <w:t>d’apprentissage</w:t>
      </w:r>
      <w:r w:rsidR="00911FBA">
        <w:rPr>
          <w:sz w:val="24"/>
        </w:rPr>
        <w:t xml:space="preserve">. </w:t>
      </w:r>
    </w:p>
    <w:p w:rsidR="00134151" w:rsidRDefault="00134151" w:rsidP="00C031D0">
      <w:pPr>
        <w:jc w:val="both"/>
        <w:rPr>
          <w:sz w:val="24"/>
        </w:rPr>
      </w:pPr>
      <w:r w:rsidRPr="00134151">
        <w:rPr>
          <w:sz w:val="24"/>
        </w:rPr>
        <w:t xml:space="preserve">Parmi </w:t>
      </w:r>
      <w:r w:rsidR="00767D0B">
        <w:rPr>
          <w:sz w:val="24"/>
        </w:rPr>
        <w:t>ces dictées</w:t>
      </w:r>
      <w:r w:rsidRPr="00134151">
        <w:rPr>
          <w:sz w:val="24"/>
        </w:rPr>
        <w:t xml:space="preserve">, notons la </w:t>
      </w:r>
      <w:r w:rsidRPr="00134151">
        <w:rPr>
          <w:i/>
          <w:sz w:val="24"/>
        </w:rPr>
        <w:t>phrase dictée du jour</w:t>
      </w:r>
      <w:r w:rsidRPr="00134151">
        <w:rPr>
          <w:sz w:val="24"/>
        </w:rPr>
        <w:t xml:space="preserve"> et la </w:t>
      </w:r>
      <w:r w:rsidRPr="00134151">
        <w:rPr>
          <w:i/>
          <w:sz w:val="24"/>
        </w:rPr>
        <w:t>dictée 0 faute</w:t>
      </w:r>
      <w:r w:rsidRPr="00134151">
        <w:rPr>
          <w:sz w:val="24"/>
        </w:rPr>
        <w:t xml:space="preserve">, les plus courantes, mais aussi la </w:t>
      </w:r>
      <w:r w:rsidRPr="00134151">
        <w:rPr>
          <w:i/>
          <w:sz w:val="24"/>
        </w:rPr>
        <w:t>phrase dictée « donnée »</w:t>
      </w:r>
      <w:r w:rsidRPr="00134151">
        <w:rPr>
          <w:sz w:val="24"/>
        </w:rPr>
        <w:t xml:space="preserve"> et la </w:t>
      </w:r>
      <w:r w:rsidRPr="00134151">
        <w:rPr>
          <w:i/>
          <w:sz w:val="24"/>
        </w:rPr>
        <w:t>dictée négociée</w:t>
      </w:r>
      <w:r w:rsidRPr="00134151">
        <w:rPr>
          <w:sz w:val="24"/>
        </w:rPr>
        <w:t xml:space="preserve"> ou </w:t>
      </w:r>
      <w:r w:rsidRPr="00134151">
        <w:rPr>
          <w:i/>
          <w:sz w:val="24"/>
        </w:rPr>
        <w:t>coopérative</w:t>
      </w:r>
      <w:r w:rsidRPr="00134151">
        <w:rPr>
          <w:sz w:val="24"/>
        </w:rPr>
        <w:t xml:space="preserve">. Pour </w:t>
      </w:r>
      <w:r w:rsidR="00767D0B">
        <w:rPr>
          <w:sz w:val="24"/>
        </w:rPr>
        <w:t xml:space="preserve">lire </w:t>
      </w:r>
      <w:r w:rsidRPr="00134151">
        <w:rPr>
          <w:sz w:val="24"/>
        </w:rPr>
        <w:t xml:space="preserve">une brève présentation de </w:t>
      </w:r>
      <w:r w:rsidR="00767D0B">
        <w:rPr>
          <w:sz w:val="24"/>
        </w:rPr>
        <w:t>celles-ci, nous vous invitons à lire</w:t>
      </w:r>
      <w:r w:rsidRPr="00134151">
        <w:rPr>
          <w:sz w:val="24"/>
        </w:rPr>
        <w:t xml:space="preserve"> la page 14 de </w:t>
      </w:r>
      <w:hyperlink r:id="rId8" w:history="1">
        <w:r w:rsidRPr="00767D0B">
          <w:rPr>
            <w:rStyle w:val="Lienhypertexte"/>
            <w:b/>
            <w:sz w:val="24"/>
          </w:rPr>
          <w:t>ce do</w:t>
        </w:r>
        <w:r w:rsidR="00767D0B">
          <w:rPr>
            <w:rStyle w:val="Lienhypertexte"/>
            <w:b/>
            <w:sz w:val="24"/>
          </w:rPr>
          <w:t>ssier</w:t>
        </w:r>
      </w:hyperlink>
      <w:r w:rsidRPr="00134151">
        <w:rPr>
          <w:sz w:val="24"/>
        </w:rPr>
        <w:t xml:space="preserve"> du CTREQ</w:t>
      </w:r>
      <w:r w:rsidR="00767D0B">
        <w:rPr>
          <w:sz w:val="24"/>
        </w:rPr>
        <w:t xml:space="preserve"> et du MEQ de 2019</w:t>
      </w:r>
      <w:r w:rsidRPr="00134151">
        <w:rPr>
          <w:sz w:val="24"/>
        </w:rPr>
        <w:t>.</w:t>
      </w:r>
    </w:p>
    <w:p w:rsidR="00C031D0" w:rsidRDefault="00C031D0" w:rsidP="00C031D0">
      <w:pPr>
        <w:jc w:val="both"/>
        <w:rPr>
          <w:sz w:val="24"/>
        </w:rPr>
      </w:pPr>
      <w:r w:rsidRPr="00C031D0">
        <w:rPr>
          <w:sz w:val="24"/>
        </w:rPr>
        <w:t xml:space="preserve">Les </w:t>
      </w:r>
      <w:r>
        <w:rPr>
          <w:sz w:val="24"/>
        </w:rPr>
        <w:t xml:space="preserve">phrases </w:t>
      </w:r>
      <w:r w:rsidR="00767D0B">
        <w:rPr>
          <w:sz w:val="24"/>
        </w:rPr>
        <w:t xml:space="preserve">proposées </w:t>
      </w:r>
      <w:r w:rsidR="00FA092A">
        <w:rPr>
          <w:sz w:val="24"/>
        </w:rPr>
        <w:t>dans les</w:t>
      </w:r>
      <w:r w:rsidR="00767D0B">
        <w:rPr>
          <w:sz w:val="24"/>
        </w:rPr>
        <w:t xml:space="preserve"> pages suivantes</w:t>
      </w:r>
      <w:r>
        <w:rPr>
          <w:sz w:val="24"/>
        </w:rPr>
        <w:t xml:space="preserve"> ont été rédigées </w:t>
      </w:r>
      <w:r w:rsidR="00FA092A">
        <w:rPr>
          <w:sz w:val="24"/>
        </w:rPr>
        <w:t>de façon à contenir</w:t>
      </w:r>
      <w:r>
        <w:rPr>
          <w:sz w:val="24"/>
        </w:rPr>
        <w:t xml:space="preserve"> des cas grammaticaux qui, </w:t>
      </w:r>
      <w:r w:rsidR="004750FB">
        <w:rPr>
          <w:sz w:val="24"/>
        </w:rPr>
        <w:t>sauf erreur</w:t>
      </w:r>
      <w:r>
        <w:rPr>
          <w:sz w:val="24"/>
        </w:rPr>
        <w:t xml:space="preserve">, devraient être déjà maitrisés ou devraient </w:t>
      </w:r>
      <w:r w:rsidR="00121FB5">
        <w:rPr>
          <w:sz w:val="24"/>
        </w:rPr>
        <w:t>faire l’objet d’un enseignement-apprentissage</w:t>
      </w:r>
      <w:r>
        <w:rPr>
          <w:sz w:val="24"/>
        </w:rPr>
        <w:t xml:space="preserve"> en </w:t>
      </w:r>
      <w:r w:rsidR="00F70D9B">
        <w:rPr>
          <w:sz w:val="24"/>
        </w:rPr>
        <w:t>2</w:t>
      </w:r>
      <w:r w:rsidRPr="00C031D0">
        <w:rPr>
          <w:sz w:val="24"/>
          <w:vertAlign w:val="superscript"/>
        </w:rPr>
        <w:t>e</w:t>
      </w:r>
      <w:r>
        <w:rPr>
          <w:sz w:val="24"/>
        </w:rPr>
        <w:t> secondaire</w:t>
      </w:r>
      <w:r w:rsidR="00121FB5">
        <w:rPr>
          <w:sz w:val="24"/>
        </w:rPr>
        <w:t>, et ce,</w:t>
      </w:r>
      <w:r>
        <w:rPr>
          <w:sz w:val="24"/>
        </w:rPr>
        <w:t xml:space="preserve"> </w:t>
      </w:r>
      <w:r w:rsidR="00767D0B">
        <w:rPr>
          <w:sz w:val="24"/>
        </w:rPr>
        <w:t>selon</w:t>
      </w:r>
      <w:r w:rsidR="00F70D9B">
        <w:rPr>
          <w:sz w:val="24"/>
        </w:rPr>
        <w:t xml:space="preserve"> le document</w:t>
      </w:r>
      <w:r>
        <w:rPr>
          <w:sz w:val="24"/>
        </w:rPr>
        <w:t xml:space="preserve"> de </w:t>
      </w:r>
      <w:r w:rsidR="00F70D9B">
        <w:rPr>
          <w:sz w:val="24"/>
        </w:rPr>
        <w:t xml:space="preserve">la </w:t>
      </w:r>
      <w:r>
        <w:rPr>
          <w:sz w:val="24"/>
        </w:rPr>
        <w:t xml:space="preserve">progression des apprentissages </w:t>
      </w:r>
      <w:r w:rsidR="00F70D9B">
        <w:rPr>
          <w:sz w:val="24"/>
        </w:rPr>
        <w:t>en français du</w:t>
      </w:r>
      <w:r>
        <w:rPr>
          <w:sz w:val="24"/>
        </w:rPr>
        <w:t xml:space="preserve"> secondaire.</w:t>
      </w:r>
      <w:r w:rsidR="00767D0B">
        <w:rPr>
          <w:sz w:val="24"/>
        </w:rPr>
        <w:t xml:space="preserve"> L</w:t>
      </w:r>
      <w:r w:rsidR="00121FB5">
        <w:rPr>
          <w:sz w:val="24"/>
        </w:rPr>
        <w:t xml:space="preserve">ibre à vous </w:t>
      </w:r>
      <w:r w:rsidR="00767D0B">
        <w:rPr>
          <w:sz w:val="24"/>
        </w:rPr>
        <w:t xml:space="preserve">de modifier le document pour y </w:t>
      </w:r>
      <w:r w:rsidR="00121FB5">
        <w:rPr>
          <w:sz w:val="24"/>
        </w:rPr>
        <w:t xml:space="preserve">ajouter des phrases </w:t>
      </w:r>
      <w:r w:rsidR="007D774F">
        <w:rPr>
          <w:sz w:val="24"/>
        </w:rPr>
        <w:t xml:space="preserve">de votre cru ou </w:t>
      </w:r>
      <w:r w:rsidR="00121FB5">
        <w:rPr>
          <w:sz w:val="24"/>
        </w:rPr>
        <w:t>de votre choix, des pistes pour l’observation, etc.</w:t>
      </w:r>
      <w:r w:rsidR="00767D0B">
        <w:rPr>
          <w:sz w:val="24"/>
        </w:rPr>
        <w:t xml:space="preserve"> </w:t>
      </w:r>
    </w:p>
    <w:p w:rsidR="00E36666" w:rsidRDefault="00C031D0" w:rsidP="00C031D0">
      <w:pPr>
        <w:jc w:val="both"/>
        <w:rPr>
          <w:sz w:val="24"/>
        </w:rPr>
      </w:pPr>
      <w:r>
        <w:rPr>
          <w:sz w:val="24"/>
        </w:rPr>
        <w:t xml:space="preserve">La première phrase </w:t>
      </w:r>
      <w:r w:rsidR="00F70D9B">
        <w:rPr>
          <w:sz w:val="24"/>
        </w:rPr>
        <w:t xml:space="preserve">proposée </w:t>
      </w:r>
      <w:r>
        <w:rPr>
          <w:sz w:val="24"/>
        </w:rPr>
        <w:t xml:space="preserve">est suivie de pistes </w:t>
      </w:r>
      <w:r w:rsidR="00121FB5">
        <w:rPr>
          <w:sz w:val="24"/>
        </w:rPr>
        <w:t xml:space="preserve">quant à certains des cas grammaticaux qui pourraient faire l’objet d’échanges lors </w:t>
      </w:r>
      <w:r>
        <w:rPr>
          <w:sz w:val="24"/>
        </w:rPr>
        <w:t>d’une dictée d’apprentissage. Les suivantes ne le sont pas.</w:t>
      </w:r>
    </w:p>
    <w:p w:rsidR="009F0A29" w:rsidRDefault="009F0A29">
      <w:pPr>
        <w:rPr>
          <w:sz w:val="24"/>
        </w:rPr>
      </w:pPr>
      <w:r>
        <w:rPr>
          <w:sz w:val="24"/>
        </w:rPr>
        <w:br w:type="page"/>
      </w:r>
    </w:p>
    <w:p w:rsidR="00093AD3" w:rsidRDefault="00093AD3" w:rsidP="005B0738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4A7FC9" w:rsidRPr="00AB61AD" w:rsidRDefault="004A7FC9" w:rsidP="004A7FC9">
      <w:pPr>
        <w:jc w:val="both"/>
        <w:rPr>
          <w:rFonts w:ascii="Century Gothic" w:hAnsi="Century Gothic"/>
          <w:sz w:val="24"/>
          <w:szCs w:val="24"/>
        </w:rPr>
      </w:pPr>
      <w:r w:rsidRPr="00B009A8">
        <w:rPr>
          <w:rFonts w:ascii="Century Gothic" w:hAnsi="Century Gothic"/>
          <w:sz w:val="24"/>
          <w:szCs w:val="24"/>
        </w:rPr>
        <w:t xml:space="preserve">Ludovic </w:t>
      </w:r>
      <w:r w:rsidRPr="00446E18">
        <w:rPr>
          <w:rFonts w:ascii="Century Gothic" w:hAnsi="Century Gothic"/>
          <w:sz w:val="24"/>
          <w:szCs w:val="24"/>
        </w:rPr>
        <w:t>avait l’air dégouté</w:t>
      </w:r>
      <w:r w:rsidRPr="00B009A8">
        <w:rPr>
          <w:rFonts w:ascii="Century Gothic" w:hAnsi="Century Gothic"/>
          <w:sz w:val="24"/>
          <w:szCs w:val="24"/>
        </w:rPr>
        <w:t xml:space="preserve"> par la montagne de </w:t>
      </w:r>
      <w:r w:rsidRPr="00AB61AD">
        <w:rPr>
          <w:rFonts w:ascii="Century Gothic" w:hAnsi="Century Gothic"/>
          <w:sz w:val="24"/>
          <w:szCs w:val="24"/>
        </w:rPr>
        <w:t>déchets</w:t>
      </w:r>
      <w:r w:rsidRPr="00B009A8">
        <w:rPr>
          <w:rFonts w:ascii="Century Gothic" w:hAnsi="Century Gothic"/>
          <w:sz w:val="24"/>
          <w:szCs w:val="24"/>
        </w:rPr>
        <w:t xml:space="preserve"> </w:t>
      </w:r>
      <w:r w:rsidRPr="00AB61AD">
        <w:rPr>
          <w:rFonts w:ascii="Century Gothic" w:hAnsi="Century Gothic"/>
          <w:sz w:val="24"/>
          <w:szCs w:val="24"/>
        </w:rPr>
        <w:t>malodora</w:t>
      </w:r>
      <w:r>
        <w:rPr>
          <w:rFonts w:ascii="Century Gothic" w:hAnsi="Century Gothic"/>
          <w:sz w:val="24"/>
          <w:szCs w:val="24"/>
        </w:rPr>
        <w:t>nts que Sébastien avait laissés</w:t>
      </w:r>
      <w:r w:rsidRPr="00AB61AD">
        <w:rPr>
          <w:rFonts w:ascii="Century Gothic" w:hAnsi="Century Gothic"/>
          <w:sz w:val="24"/>
          <w:szCs w:val="24"/>
        </w:rPr>
        <w:t>(</w:t>
      </w:r>
      <w:proofErr w:type="spellStart"/>
      <w:r w:rsidRPr="00AB61AD">
        <w:rPr>
          <w:rFonts w:ascii="Century Gothic" w:hAnsi="Century Gothic"/>
          <w:sz w:val="24"/>
          <w:szCs w:val="24"/>
        </w:rPr>
        <w:t>ée</w:t>
      </w:r>
      <w:proofErr w:type="spellEnd"/>
      <w:r w:rsidRPr="00AB61AD">
        <w:rPr>
          <w:rFonts w:ascii="Century Gothic" w:hAnsi="Century Gothic"/>
          <w:sz w:val="24"/>
          <w:szCs w:val="24"/>
        </w:rPr>
        <w:t xml:space="preserve">) devant le magasin. 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2122"/>
        <w:gridCol w:w="8079"/>
      </w:tblGrid>
      <w:tr w:rsidR="004A7FC9" w:rsidRPr="00B029A0" w:rsidTr="004A7FC9">
        <w:tc>
          <w:tcPr>
            <w:tcW w:w="2122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:rsidR="004A7FC9" w:rsidRPr="00AB61AD" w:rsidRDefault="004A7FC9" w:rsidP="0022377B">
            <w:pPr>
              <w:rPr>
                <w:b/>
                <w:szCs w:val="24"/>
              </w:rPr>
            </w:pPr>
            <w:r w:rsidRPr="00AB61AD">
              <w:rPr>
                <w:b/>
                <w:szCs w:val="24"/>
              </w:rPr>
              <w:t>Mot et graphies erronées possibles</w:t>
            </w:r>
          </w:p>
        </w:tc>
        <w:tc>
          <w:tcPr>
            <w:tcW w:w="8079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:rsidR="004A7FC9" w:rsidRPr="00B029A0" w:rsidRDefault="004A7FC9" w:rsidP="0022377B">
            <w:pPr>
              <w:jc w:val="center"/>
              <w:rPr>
                <w:b/>
                <w:szCs w:val="24"/>
              </w:rPr>
            </w:pPr>
            <w:r w:rsidRPr="00AB61AD">
              <w:rPr>
                <w:b/>
                <w:szCs w:val="24"/>
              </w:rPr>
              <w:t>Éléments du raisonnement</w:t>
            </w:r>
          </w:p>
        </w:tc>
      </w:tr>
      <w:tr w:rsidR="004A7FC9" w:rsidRPr="00B029A0" w:rsidTr="004A7FC9">
        <w:tc>
          <w:tcPr>
            <w:tcW w:w="2122" w:type="dxa"/>
          </w:tcPr>
          <w:p w:rsidR="004A7FC9" w:rsidRDefault="004A7FC9" w:rsidP="00DD7F2E">
            <w:pPr>
              <w:spacing w:before="80"/>
              <w:rPr>
                <w:szCs w:val="24"/>
              </w:rPr>
            </w:pPr>
            <w:proofErr w:type="gramStart"/>
            <w:r>
              <w:rPr>
                <w:szCs w:val="24"/>
              </w:rPr>
              <w:t>avait</w:t>
            </w:r>
            <w:proofErr w:type="gramEnd"/>
          </w:p>
          <w:p w:rsidR="004A7FC9" w:rsidRDefault="004A7FC9" w:rsidP="0022377B">
            <w:pPr>
              <w:rPr>
                <w:szCs w:val="24"/>
              </w:rPr>
            </w:pPr>
            <w:r>
              <w:rPr>
                <w:szCs w:val="24"/>
              </w:rPr>
              <w:t>*avais</w:t>
            </w:r>
          </w:p>
          <w:p w:rsidR="004A7FC9" w:rsidRPr="00B029A0" w:rsidRDefault="004A7FC9" w:rsidP="0022377B">
            <w:pPr>
              <w:rPr>
                <w:szCs w:val="24"/>
              </w:rPr>
            </w:pPr>
          </w:p>
        </w:tc>
        <w:tc>
          <w:tcPr>
            <w:tcW w:w="8079" w:type="dxa"/>
          </w:tcPr>
          <w:p w:rsidR="004A7FC9" w:rsidRDefault="004A7FC9" w:rsidP="00DD7F2E">
            <w:pPr>
              <w:spacing w:before="80"/>
              <w:rPr>
                <w:szCs w:val="24"/>
              </w:rPr>
            </w:pPr>
            <w:r>
              <w:rPr>
                <w:szCs w:val="24"/>
              </w:rPr>
              <w:t xml:space="preserve">Déterminer que le verbe </w:t>
            </w:r>
            <w:r>
              <w:rPr>
                <w:i/>
                <w:szCs w:val="24"/>
              </w:rPr>
              <w:t xml:space="preserve">avait </w:t>
            </w:r>
            <w:r>
              <w:rPr>
                <w:szCs w:val="24"/>
              </w:rPr>
              <w:t>reçoit les marques de la 3</w:t>
            </w:r>
            <w:r w:rsidRPr="00933F2E">
              <w:rPr>
                <w:szCs w:val="24"/>
                <w:vertAlign w:val="superscript"/>
              </w:rPr>
              <w:t>e</w:t>
            </w:r>
            <w:r>
              <w:rPr>
                <w:szCs w:val="24"/>
              </w:rPr>
              <w:t xml:space="preserve"> personne et du singulier du sujet </w:t>
            </w:r>
            <w:r w:rsidRPr="00227178">
              <w:rPr>
                <w:i/>
                <w:szCs w:val="24"/>
              </w:rPr>
              <w:t>Ludovic</w:t>
            </w:r>
            <w:r>
              <w:rPr>
                <w:szCs w:val="24"/>
              </w:rPr>
              <w:t xml:space="preserve"> (donneur).</w:t>
            </w:r>
          </w:p>
          <w:p w:rsidR="004A7FC9" w:rsidRDefault="004A7FC9" w:rsidP="004A7FC9">
            <w:pPr>
              <w:pStyle w:val="Paragraphedeliste"/>
              <w:numPr>
                <w:ilvl w:val="0"/>
                <w:numId w:val="1"/>
              </w:numPr>
              <w:ind w:left="464"/>
              <w:rPr>
                <w:szCs w:val="24"/>
              </w:rPr>
            </w:pPr>
            <w:r w:rsidRPr="00B029A0">
              <w:rPr>
                <w:szCs w:val="24"/>
              </w:rPr>
              <w:t xml:space="preserve">On </w:t>
            </w:r>
            <w:r>
              <w:rPr>
                <w:szCs w:val="24"/>
              </w:rPr>
              <w:t xml:space="preserve">peut cerner le sujet en utilisant l’encadrement. </w:t>
            </w:r>
            <w:r>
              <w:rPr>
                <w:b/>
                <w:i/>
                <w:szCs w:val="24"/>
              </w:rPr>
              <w:t xml:space="preserve">C’est </w:t>
            </w:r>
            <w:r w:rsidRPr="00227178">
              <w:rPr>
                <w:i/>
                <w:szCs w:val="24"/>
              </w:rPr>
              <w:t xml:space="preserve">Ludovic </w:t>
            </w:r>
            <w:r w:rsidRPr="00AC57F1">
              <w:rPr>
                <w:b/>
                <w:i/>
                <w:szCs w:val="24"/>
              </w:rPr>
              <w:t>qui</w:t>
            </w:r>
            <w:r w:rsidRPr="00AC57F1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 xml:space="preserve">avait l’air dégouté par la montagne de déchets malodorants </w:t>
            </w:r>
            <w:r w:rsidRPr="00E31271">
              <w:rPr>
                <w:szCs w:val="24"/>
              </w:rPr>
              <w:t>(…)</w:t>
            </w:r>
            <w:r>
              <w:rPr>
                <w:szCs w:val="24"/>
              </w:rPr>
              <w:t xml:space="preserve">. </w:t>
            </w:r>
          </w:p>
          <w:p w:rsidR="004A7FC9" w:rsidRPr="000050E8" w:rsidRDefault="004A7FC9" w:rsidP="00DD7F2E">
            <w:pPr>
              <w:pStyle w:val="Paragraphedeliste"/>
              <w:numPr>
                <w:ilvl w:val="0"/>
                <w:numId w:val="1"/>
              </w:numPr>
              <w:spacing w:after="80"/>
              <w:ind w:left="459" w:hanging="357"/>
              <w:contextualSpacing w:val="0"/>
              <w:rPr>
                <w:szCs w:val="24"/>
              </w:rPr>
            </w:pPr>
            <w:r>
              <w:rPr>
                <w:szCs w:val="24"/>
              </w:rPr>
              <w:t xml:space="preserve">On peut le remplacer par le pronom personnel </w:t>
            </w:r>
            <w:r w:rsidRPr="000050E8">
              <w:rPr>
                <w:i/>
                <w:szCs w:val="24"/>
              </w:rPr>
              <w:t>Il</w:t>
            </w:r>
            <w:r>
              <w:rPr>
                <w:szCs w:val="24"/>
              </w:rPr>
              <w:t xml:space="preserve">. </w:t>
            </w:r>
            <w:r w:rsidRPr="000050E8">
              <w:rPr>
                <w:b/>
                <w:szCs w:val="24"/>
              </w:rPr>
              <w:t>Il</w:t>
            </w:r>
            <w:r>
              <w:rPr>
                <w:szCs w:val="24"/>
              </w:rPr>
              <w:t xml:space="preserve"> avait </w:t>
            </w:r>
            <w:r>
              <w:rPr>
                <w:i/>
                <w:szCs w:val="24"/>
              </w:rPr>
              <w:t xml:space="preserve">l’air dégouté par la montagne de déchets malodorants </w:t>
            </w:r>
            <w:r w:rsidRPr="00E31271">
              <w:rPr>
                <w:szCs w:val="24"/>
              </w:rPr>
              <w:t>(…)</w:t>
            </w:r>
            <w:r>
              <w:rPr>
                <w:szCs w:val="24"/>
              </w:rPr>
              <w:t>.</w:t>
            </w:r>
          </w:p>
        </w:tc>
      </w:tr>
      <w:tr w:rsidR="004A7FC9" w:rsidRPr="00B029A0" w:rsidTr="004A7FC9">
        <w:tc>
          <w:tcPr>
            <w:tcW w:w="2122" w:type="dxa"/>
          </w:tcPr>
          <w:p w:rsidR="004A7FC9" w:rsidRDefault="004A7FC9" w:rsidP="00DD7F2E">
            <w:pPr>
              <w:spacing w:before="80"/>
              <w:rPr>
                <w:szCs w:val="24"/>
              </w:rPr>
            </w:pPr>
            <w:proofErr w:type="gramStart"/>
            <w:r>
              <w:rPr>
                <w:szCs w:val="24"/>
              </w:rPr>
              <w:t>dégouté</w:t>
            </w:r>
            <w:proofErr w:type="gramEnd"/>
          </w:p>
          <w:p w:rsidR="004A7FC9" w:rsidRDefault="004A7FC9" w:rsidP="0022377B">
            <w:pPr>
              <w:rPr>
                <w:szCs w:val="24"/>
              </w:rPr>
            </w:pPr>
            <w:r>
              <w:rPr>
                <w:szCs w:val="24"/>
              </w:rPr>
              <w:t>*dégouter</w:t>
            </w:r>
          </w:p>
          <w:p w:rsidR="004A7FC9" w:rsidRDefault="004A7FC9" w:rsidP="0022377B">
            <w:pPr>
              <w:rPr>
                <w:szCs w:val="24"/>
              </w:rPr>
            </w:pPr>
          </w:p>
        </w:tc>
        <w:tc>
          <w:tcPr>
            <w:tcW w:w="8079" w:type="dxa"/>
          </w:tcPr>
          <w:p w:rsidR="004A7FC9" w:rsidRDefault="004A7FC9" w:rsidP="00DD7F2E">
            <w:pPr>
              <w:spacing w:before="80"/>
              <w:rPr>
                <w:szCs w:val="24"/>
              </w:rPr>
            </w:pPr>
            <w:r w:rsidRPr="00B029A0">
              <w:rPr>
                <w:szCs w:val="24"/>
              </w:rPr>
              <w:t xml:space="preserve">Déterminer qu’il s’agit </w:t>
            </w:r>
            <w:r>
              <w:rPr>
                <w:szCs w:val="24"/>
              </w:rPr>
              <w:t xml:space="preserve">d’un adjectif noyau d’un </w:t>
            </w:r>
            <w:proofErr w:type="spellStart"/>
            <w:r>
              <w:rPr>
                <w:szCs w:val="24"/>
              </w:rPr>
              <w:t>GAdj</w:t>
            </w:r>
            <w:proofErr w:type="spellEnd"/>
            <w:r>
              <w:rPr>
                <w:szCs w:val="24"/>
              </w:rPr>
              <w:t xml:space="preserve"> exerçant la fonction d’attribut du sujet et qu’il reçoit donc le genre et le nombre de ce dernier.</w:t>
            </w:r>
          </w:p>
          <w:p w:rsidR="004A7FC9" w:rsidRDefault="004A7FC9" w:rsidP="004A7FC9">
            <w:pPr>
              <w:pStyle w:val="Paragraphedeliste"/>
              <w:numPr>
                <w:ilvl w:val="0"/>
                <w:numId w:val="1"/>
              </w:numPr>
              <w:ind w:left="464"/>
              <w:rPr>
                <w:szCs w:val="24"/>
              </w:rPr>
            </w:pPr>
            <w:r>
              <w:rPr>
                <w:szCs w:val="24"/>
              </w:rPr>
              <w:t xml:space="preserve">On peut faire observer qu’il s’agit d’un attribut du sujet en remplaçant le verbe attributif par un autre verbe attributif. Ex. : </w:t>
            </w:r>
            <w:r>
              <w:rPr>
                <w:i/>
                <w:szCs w:val="24"/>
              </w:rPr>
              <w:t xml:space="preserve">Ludovic </w:t>
            </w:r>
            <w:r w:rsidRPr="008455DF">
              <w:rPr>
                <w:b/>
                <w:i/>
                <w:szCs w:val="24"/>
              </w:rPr>
              <w:t>semblait</w:t>
            </w:r>
            <w:r>
              <w:rPr>
                <w:i/>
                <w:szCs w:val="24"/>
              </w:rPr>
              <w:t xml:space="preserve"> dégouté par la montagne de déchets </w:t>
            </w:r>
            <w:r>
              <w:rPr>
                <w:szCs w:val="24"/>
              </w:rPr>
              <w:t>(…).</w:t>
            </w:r>
          </w:p>
          <w:p w:rsidR="004A7FC9" w:rsidRPr="00B029A0" w:rsidRDefault="004A7FC9" w:rsidP="004A7FC9">
            <w:pPr>
              <w:pStyle w:val="Paragraphedeliste"/>
              <w:numPr>
                <w:ilvl w:val="0"/>
                <w:numId w:val="1"/>
              </w:numPr>
              <w:ind w:left="464"/>
              <w:rPr>
                <w:szCs w:val="24"/>
              </w:rPr>
            </w:pPr>
            <w:r>
              <w:rPr>
                <w:szCs w:val="24"/>
              </w:rPr>
              <w:t xml:space="preserve">On peut démontrer que dégouté est un adjectif en remplaçant le </w:t>
            </w:r>
            <w:proofErr w:type="spellStart"/>
            <w:r>
              <w:rPr>
                <w:szCs w:val="24"/>
              </w:rPr>
              <w:t>GAdj</w:t>
            </w:r>
            <w:proofErr w:type="spellEnd"/>
            <w:r>
              <w:rPr>
                <w:szCs w:val="24"/>
              </w:rPr>
              <w:t xml:space="preserve"> dont il est le noyau par un autre </w:t>
            </w:r>
            <w:proofErr w:type="spellStart"/>
            <w:r>
              <w:rPr>
                <w:szCs w:val="24"/>
              </w:rPr>
              <w:t>GAdj</w:t>
            </w:r>
            <w:proofErr w:type="spellEnd"/>
            <w:r>
              <w:rPr>
                <w:szCs w:val="24"/>
              </w:rPr>
              <w:t xml:space="preserve"> dans la phrase complète. Ex. : </w:t>
            </w:r>
            <w:r>
              <w:rPr>
                <w:i/>
                <w:szCs w:val="24"/>
              </w:rPr>
              <w:t xml:space="preserve">Ludovic </w:t>
            </w:r>
            <w:r w:rsidRPr="008455DF">
              <w:rPr>
                <w:i/>
                <w:szCs w:val="24"/>
              </w:rPr>
              <w:t xml:space="preserve">avait l’air </w:t>
            </w:r>
            <w:r w:rsidRPr="008455DF">
              <w:rPr>
                <w:b/>
                <w:i/>
                <w:szCs w:val="24"/>
              </w:rPr>
              <w:t>gentil</w:t>
            </w:r>
            <w:r>
              <w:rPr>
                <w:i/>
                <w:szCs w:val="24"/>
              </w:rPr>
              <w:t>.</w:t>
            </w:r>
          </w:p>
          <w:p w:rsidR="004A7FC9" w:rsidRPr="00B029A0" w:rsidRDefault="004A7FC9" w:rsidP="00DD7F2E">
            <w:pPr>
              <w:spacing w:before="80" w:after="80"/>
              <w:rPr>
                <w:szCs w:val="24"/>
              </w:rPr>
            </w:pPr>
            <w:r w:rsidRPr="00B029A0">
              <w:rPr>
                <w:szCs w:val="24"/>
              </w:rPr>
              <w:t>On po</w:t>
            </w:r>
            <w:bookmarkStart w:id="1" w:name="_GoBack"/>
            <w:bookmarkEnd w:id="1"/>
            <w:r w:rsidRPr="00B029A0">
              <w:rPr>
                <w:szCs w:val="24"/>
              </w:rPr>
              <w:t xml:space="preserve">urrait aussi prouver que ce n’est pas le verbe </w:t>
            </w:r>
            <w:r>
              <w:rPr>
                <w:i/>
                <w:szCs w:val="24"/>
              </w:rPr>
              <w:t>dégout</w:t>
            </w:r>
            <w:r w:rsidRPr="00B029A0">
              <w:rPr>
                <w:i/>
                <w:szCs w:val="24"/>
              </w:rPr>
              <w:t>er</w:t>
            </w:r>
            <w:r w:rsidRPr="00B029A0">
              <w:rPr>
                <w:szCs w:val="24"/>
              </w:rPr>
              <w:t xml:space="preserve"> à l’infinitif en le remplaçant par </w:t>
            </w:r>
            <w:r w:rsidRPr="00B029A0">
              <w:rPr>
                <w:i/>
                <w:szCs w:val="24"/>
              </w:rPr>
              <w:t>courir</w:t>
            </w:r>
            <w:r w:rsidRPr="00B029A0">
              <w:rPr>
                <w:szCs w:val="24"/>
              </w:rPr>
              <w:t xml:space="preserve"> dans la phrase complète. Ex. : *</w:t>
            </w:r>
            <w:r>
              <w:rPr>
                <w:i/>
                <w:szCs w:val="24"/>
              </w:rPr>
              <w:t xml:space="preserve">Ludovic avait l’air </w:t>
            </w:r>
            <w:r w:rsidRPr="00A12A27">
              <w:rPr>
                <w:b/>
                <w:i/>
                <w:szCs w:val="24"/>
              </w:rPr>
              <w:t>courir</w:t>
            </w:r>
            <w:r>
              <w:rPr>
                <w:i/>
                <w:szCs w:val="24"/>
              </w:rPr>
              <w:t xml:space="preserve"> par la montagne de déchets </w:t>
            </w:r>
            <w:r w:rsidRPr="00B029A0">
              <w:rPr>
                <w:szCs w:val="24"/>
              </w:rPr>
              <w:t>(…)</w:t>
            </w:r>
          </w:p>
        </w:tc>
      </w:tr>
      <w:tr w:rsidR="004A7FC9" w:rsidRPr="00B029A0" w:rsidTr="004A7FC9">
        <w:tc>
          <w:tcPr>
            <w:tcW w:w="2122" w:type="dxa"/>
          </w:tcPr>
          <w:p w:rsidR="004A7FC9" w:rsidRDefault="004A7FC9" w:rsidP="00DD7F2E">
            <w:pPr>
              <w:spacing w:before="80"/>
              <w:rPr>
                <w:szCs w:val="24"/>
              </w:rPr>
            </w:pPr>
            <w:proofErr w:type="gramStart"/>
            <w:r>
              <w:rPr>
                <w:szCs w:val="24"/>
              </w:rPr>
              <w:t>déchets</w:t>
            </w:r>
            <w:proofErr w:type="gramEnd"/>
            <w:r>
              <w:rPr>
                <w:szCs w:val="24"/>
              </w:rPr>
              <w:t xml:space="preserve"> </w:t>
            </w:r>
          </w:p>
          <w:p w:rsidR="004A7FC9" w:rsidRDefault="004A7FC9" w:rsidP="0022377B">
            <w:pPr>
              <w:rPr>
                <w:szCs w:val="24"/>
              </w:rPr>
            </w:pPr>
            <w:r>
              <w:rPr>
                <w:szCs w:val="24"/>
              </w:rPr>
              <w:t xml:space="preserve">*déchet </w:t>
            </w:r>
          </w:p>
        </w:tc>
        <w:tc>
          <w:tcPr>
            <w:tcW w:w="8079" w:type="dxa"/>
          </w:tcPr>
          <w:p w:rsidR="004A7FC9" w:rsidRDefault="004A7FC9" w:rsidP="00DD7F2E">
            <w:pPr>
              <w:spacing w:before="80" w:after="80"/>
              <w:rPr>
                <w:szCs w:val="24"/>
              </w:rPr>
            </w:pPr>
            <w:r>
              <w:rPr>
                <w:szCs w:val="24"/>
              </w:rPr>
              <w:t xml:space="preserve">Faire observer la présence du nom collectif qui précède </w:t>
            </w:r>
            <w:r w:rsidRPr="001B0AAD">
              <w:rPr>
                <w:i/>
                <w:szCs w:val="24"/>
              </w:rPr>
              <w:t>déchets</w:t>
            </w:r>
            <w:r>
              <w:rPr>
                <w:szCs w:val="24"/>
              </w:rPr>
              <w:t xml:space="preserve"> et qui traduit l’idée d’une quantité d’éléments comptables. Ce nom donneur d’accord est donc pluriel. </w:t>
            </w:r>
          </w:p>
        </w:tc>
      </w:tr>
      <w:tr w:rsidR="004A7FC9" w:rsidRPr="00B029A0" w:rsidTr="004A7FC9">
        <w:tc>
          <w:tcPr>
            <w:tcW w:w="2122" w:type="dxa"/>
          </w:tcPr>
          <w:p w:rsidR="004A7FC9" w:rsidRDefault="004A7FC9" w:rsidP="00DD7F2E">
            <w:pPr>
              <w:spacing w:before="80"/>
              <w:rPr>
                <w:szCs w:val="24"/>
              </w:rPr>
            </w:pPr>
            <w:proofErr w:type="gramStart"/>
            <w:r>
              <w:rPr>
                <w:szCs w:val="24"/>
              </w:rPr>
              <w:t>malodorants</w:t>
            </w:r>
            <w:proofErr w:type="gramEnd"/>
          </w:p>
          <w:p w:rsidR="004A7FC9" w:rsidRDefault="004A7FC9" w:rsidP="0022377B">
            <w:pPr>
              <w:rPr>
                <w:szCs w:val="24"/>
              </w:rPr>
            </w:pPr>
            <w:r>
              <w:rPr>
                <w:szCs w:val="24"/>
              </w:rPr>
              <w:t>* malodorant</w:t>
            </w:r>
          </w:p>
        </w:tc>
        <w:tc>
          <w:tcPr>
            <w:tcW w:w="8079" w:type="dxa"/>
          </w:tcPr>
          <w:p w:rsidR="004A7FC9" w:rsidRDefault="004A7FC9" w:rsidP="00DD7F2E">
            <w:pPr>
              <w:spacing w:before="80"/>
              <w:rPr>
                <w:szCs w:val="24"/>
              </w:rPr>
            </w:pPr>
            <w:r>
              <w:rPr>
                <w:szCs w:val="24"/>
              </w:rPr>
              <w:t xml:space="preserve">Déterminer que </w:t>
            </w:r>
            <w:r w:rsidRPr="001B0AAD">
              <w:rPr>
                <w:i/>
                <w:szCs w:val="24"/>
              </w:rPr>
              <w:t>malodorants</w:t>
            </w:r>
            <w:r>
              <w:rPr>
                <w:szCs w:val="24"/>
              </w:rPr>
              <w:t xml:space="preserve"> est un adjectif (</w:t>
            </w:r>
            <w:proofErr w:type="spellStart"/>
            <w:r>
              <w:rPr>
                <w:szCs w:val="24"/>
              </w:rPr>
              <w:t>GAdj</w:t>
            </w:r>
            <w:proofErr w:type="spellEnd"/>
            <w:r>
              <w:rPr>
                <w:szCs w:val="24"/>
              </w:rPr>
              <w:t xml:space="preserve"> minimal) se trouvant dans un GN et qu’il reçoit donc le genre et le nombre du noyau de ce dernier (m. p.).</w:t>
            </w:r>
          </w:p>
          <w:p w:rsidR="004A7FC9" w:rsidRDefault="004A7FC9" w:rsidP="004A7FC9">
            <w:pPr>
              <w:pStyle w:val="Paragraphedeliste"/>
              <w:numPr>
                <w:ilvl w:val="0"/>
                <w:numId w:val="1"/>
              </w:numPr>
              <w:ind w:left="464"/>
              <w:rPr>
                <w:szCs w:val="24"/>
              </w:rPr>
            </w:pPr>
            <w:r>
              <w:rPr>
                <w:szCs w:val="24"/>
              </w:rPr>
              <w:t xml:space="preserve">On peut prouver qu’il s’agit d’un adjectif dans un GN en l’effaçant dans la phrase complète. </w:t>
            </w:r>
            <w:r w:rsidRPr="001B0AAD">
              <w:rPr>
                <w:i/>
                <w:szCs w:val="24"/>
              </w:rPr>
              <w:t>Ludovic avait l’air dégouté par la montagne de déchets que Sébastien avait laissés</w:t>
            </w:r>
            <w:r>
              <w:rPr>
                <w:szCs w:val="24"/>
              </w:rPr>
              <w:t xml:space="preserve"> (…).</w:t>
            </w:r>
          </w:p>
          <w:p w:rsidR="004A7FC9" w:rsidRPr="001B0AAD" w:rsidRDefault="004A7FC9" w:rsidP="00DD7F2E">
            <w:pPr>
              <w:pStyle w:val="Paragraphedeliste"/>
              <w:numPr>
                <w:ilvl w:val="0"/>
                <w:numId w:val="1"/>
              </w:numPr>
              <w:spacing w:after="80"/>
              <w:ind w:left="459" w:hanging="357"/>
              <w:contextualSpacing w:val="0"/>
              <w:rPr>
                <w:szCs w:val="24"/>
              </w:rPr>
            </w:pPr>
            <w:r>
              <w:rPr>
                <w:szCs w:val="24"/>
              </w:rPr>
              <w:t xml:space="preserve">On peut aussi prouver qu’il s’agit d’un adjectif qualifiant en le précédant d’un adverbe. Ex. : </w:t>
            </w:r>
            <w:r w:rsidRPr="001B0AAD">
              <w:rPr>
                <w:i/>
                <w:szCs w:val="24"/>
              </w:rPr>
              <w:t xml:space="preserve">Ludovic avait l’air dégouté par la montagne de déchets </w:t>
            </w:r>
            <w:r w:rsidRPr="001B0AAD">
              <w:rPr>
                <w:b/>
                <w:i/>
                <w:szCs w:val="24"/>
              </w:rPr>
              <w:t>tout à fait</w:t>
            </w:r>
            <w:r w:rsidRPr="001B0AAD">
              <w:rPr>
                <w:i/>
                <w:szCs w:val="24"/>
              </w:rPr>
              <w:t xml:space="preserve"> malodorants que Sébastien avait laissée</w:t>
            </w:r>
            <w:r>
              <w:rPr>
                <w:szCs w:val="24"/>
              </w:rPr>
              <w:t xml:space="preserve"> (…).</w:t>
            </w:r>
          </w:p>
        </w:tc>
      </w:tr>
      <w:tr w:rsidR="004A7FC9" w:rsidRPr="00B029A0" w:rsidTr="004A7FC9">
        <w:tc>
          <w:tcPr>
            <w:tcW w:w="2122" w:type="dxa"/>
          </w:tcPr>
          <w:p w:rsidR="004A7FC9" w:rsidRDefault="004A7FC9" w:rsidP="00DD7F2E">
            <w:pPr>
              <w:spacing w:before="80"/>
              <w:rPr>
                <w:szCs w:val="24"/>
              </w:rPr>
            </w:pPr>
            <w:r>
              <w:rPr>
                <w:szCs w:val="24"/>
              </w:rPr>
              <w:t>laissés(</w:t>
            </w:r>
            <w:proofErr w:type="spellStart"/>
            <w:r>
              <w:rPr>
                <w:szCs w:val="24"/>
              </w:rPr>
              <w:t>ée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8079" w:type="dxa"/>
          </w:tcPr>
          <w:p w:rsidR="004A7FC9" w:rsidRDefault="004A7FC9" w:rsidP="00DD7F2E">
            <w:pPr>
              <w:spacing w:before="80" w:after="80"/>
              <w:rPr>
                <w:szCs w:val="24"/>
              </w:rPr>
            </w:pPr>
            <w:r>
              <w:rPr>
                <w:szCs w:val="24"/>
              </w:rPr>
              <w:t xml:space="preserve">Montrer comment, avec un nom collectif, il y a diverses possibilités d’accords selon le sens que l’on veut donner à la phrase. Ici, soit on insiste sur le nom </w:t>
            </w:r>
            <w:r w:rsidRPr="00E802AE">
              <w:rPr>
                <w:i/>
                <w:szCs w:val="24"/>
              </w:rPr>
              <w:t>montagne</w:t>
            </w:r>
            <w:r>
              <w:rPr>
                <w:szCs w:val="24"/>
              </w:rPr>
              <w:t xml:space="preserve">, soit on insiste sur le nom </w:t>
            </w:r>
            <w:r>
              <w:rPr>
                <w:i/>
                <w:szCs w:val="24"/>
              </w:rPr>
              <w:t xml:space="preserve">déchets. </w:t>
            </w:r>
            <w:r>
              <w:rPr>
                <w:szCs w:val="24"/>
              </w:rPr>
              <w:t xml:space="preserve">De ce choix dépendra l’accord du participe passé </w:t>
            </w:r>
            <w:r w:rsidRPr="00E802AE">
              <w:rPr>
                <w:i/>
                <w:szCs w:val="24"/>
              </w:rPr>
              <w:t>laissé</w:t>
            </w:r>
            <w:r>
              <w:rPr>
                <w:szCs w:val="24"/>
              </w:rPr>
              <w:t xml:space="preserve"> selon le CD placé avant que l’on aura déterminé.</w:t>
            </w:r>
          </w:p>
        </w:tc>
      </w:tr>
    </w:tbl>
    <w:p w:rsidR="00093AD3" w:rsidRDefault="00093AD3" w:rsidP="00093AD3">
      <w:pPr>
        <w:spacing w:after="0" w:line="240" w:lineRule="auto"/>
        <w:rPr>
          <w:sz w:val="24"/>
          <w:szCs w:val="24"/>
        </w:rPr>
      </w:pPr>
    </w:p>
    <w:p w:rsidR="004A7FC9" w:rsidRDefault="004A7FC9" w:rsidP="004A7F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A7FC9" w:rsidRDefault="004A7FC9" w:rsidP="00093AD3">
      <w:pPr>
        <w:spacing w:after="0" w:line="240" w:lineRule="auto"/>
        <w:rPr>
          <w:sz w:val="24"/>
          <w:szCs w:val="24"/>
        </w:rPr>
      </w:pPr>
    </w:p>
    <w:p w:rsidR="00DE625E" w:rsidRPr="002129DF" w:rsidRDefault="00DE625E" w:rsidP="00DE625E">
      <w:pPr>
        <w:spacing w:after="0" w:line="240" w:lineRule="auto"/>
        <w:jc w:val="both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Autres phrases pour la </w:t>
      </w:r>
      <w:r w:rsidR="005B0738">
        <w:rPr>
          <w:b/>
          <w:color w:val="0070C0"/>
          <w:sz w:val="24"/>
          <w:szCs w:val="24"/>
        </w:rPr>
        <w:t>2</w:t>
      </w:r>
      <w:r w:rsidRPr="002129DF">
        <w:rPr>
          <w:b/>
          <w:color w:val="0070C0"/>
          <w:sz w:val="24"/>
          <w:szCs w:val="24"/>
          <w:vertAlign w:val="superscript"/>
        </w:rPr>
        <w:t>e</w:t>
      </w:r>
      <w:r w:rsidRPr="002129DF">
        <w:rPr>
          <w:b/>
          <w:color w:val="0070C0"/>
          <w:sz w:val="24"/>
          <w:szCs w:val="24"/>
        </w:rPr>
        <w:t xml:space="preserve"> secondaire :</w:t>
      </w:r>
    </w:p>
    <w:p w:rsidR="00DE625E" w:rsidRDefault="00DE625E" w:rsidP="00DE625E">
      <w:pPr>
        <w:jc w:val="both"/>
        <w:rPr>
          <w:sz w:val="24"/>
          <w:szCs w:val="24"/>
        </w:rPr>
      </w:pPr>
    </w:p>
    <w:p w:rsidR="004A7FC9" w:rsidRPr="00B009A8" w:rsidRDefault="004A7FC9" w:rsidP="004A7FC9">
      <w:pPr>
        <w:spacing w:after="240"/>
        <w:jc w:val="both"/>
        <w:rPr>
          <w:rFonts w:ascii="Century Gothic" w:hAnsi="Century Gothic"/>
          <w:sz w:val="24"/>
          <w:szCs w:val="24"/>
        </w:rPr>
      </w:pPr>
      <w:r w:rsidRPr="00B009A8">
        <w:rPr>
          <w:rFonts w:ascii="Century Gothic" w:hAnsi="Century Gothic"/>
          <w:sz w:val="24"/>
          <w:szCs w:val="24"/>
        </w:rPr>
        <w:t>Émerveillée, Myriam observait les reflets du soleil sur l’eau et écoutait le chant des cigales.</w:t>
      </w:r>
    </w:p>
    <w:p w:rsidR="004A7FC9" w:rsidRDefault="004A7FC9" w:rsidP="004A7FC9">
      <w:pPr>
        <w:spacing w:after="240"/>
        <w:jc w:val="both"/>
        <w:rPr>
          <w:rFonts w:ascii="Century Gothic" w:hAnsi="Century Gothic"/>
          <w:sz w:val="24"/>
          <w:szCs w:val="24"/>
        </w:rPr>
      </w:pPr>
      <w:r w:rsidRPr="00B009A8">
        <w:rPr>
          <w:rFonts w:ascii="Century Gothic" w:hAnsi="Century Gothic"/>
          <w:sz w:val="24"/>
          <w:szCs w:val="24"/>
        </w:rPr>
        <w:t>Au sommet de la falaise qu’ils venaient d’escalader, Jean-François et Stéphanie admiraient le paysage et savouraient leur repas dominical.</w:t>
      </w:r>
    </w:p>
    <w:p w:rsidR="004A7FC9" w:rsidRPr="004A6B10" w:rsidRDefault="004A7FC9" w:rsidP="004A7FC9">
      <w:pPr>
        <w:spacing w:after="240"/>
        <w:jc w:val="both"/>
        <w:rPr>
          <w:rFonts w:ascii="Century Gothic" w:hAnsi="Century Gothic"/>
          <w:sz w:val="24"/>
          <w:szCs w:val="24"/>
        </w:rPr>
      </w:pPr>
      <w:r w:rsidRPr="004A6B10">
        <w:rPr>
          <w:rFonts w:ascii="Century Gothic" w:hAnsi="Century Gothic"/>
          <w:sz w:val="24"/>
          <w:szCs w:val="24"/>
        </w:rPr>
        <w:t xml:space="preserve">Les mangeoires que monsieur </w:t>
      </w:r>
      <w:proofErr w:type="spellStart"/>
      <w:r w:rsidRPr="004A6B10">
        <w:rPr>
          <w:rFonts w:ascii="Century Gothic" w:hAnsi="Century Gothic"/>
          <w:sz w:val="24"/>
          <w:szCs w:val="24"/>
        </w:rPr>
        <w:t>Létourneau</w:t>
      </w:r>
      <w:proofErr w:type="spellEnd"/>
      <w:r w:rsidRPr="004A6B10">
        <w:rPr>
          <w:rFonts w:ascii="Century Gothic" w:hAnsi="Century Gothic"/>
          <w:sz w:val="24"/>
          <w:szCs w:val="24"/>
        </w:rPr>
        <w:t xml:space="preserve"> avait remplies ont fait le bonheur des oiseaux de son jardin. </w:t>
      </w:r>
    </w:p>
    <w:p w:rsidR="004A7FC9" w:rsidRPr="004A6B10" w:rsidRDefault="004A7FC9" w:rsidP="004A7FC9">
      <w:pPr>
        <w:spacing w:after="240"/>
        <w:jc w:val="both"/>
        <w:rPr>
          <w:rFonts w:ascii="Century Gothic" w:hAnsi="Century Gothic"/>
          <w:sz w:val="24"/>
          <w:szCs w:val="24"/>
        </w:rPr>
      </w:pPr>
      <w:r w:rsidRPr="004A6B10">
        <w:rPr>
          <w:rFonts w:ascii="Century Gothic" w:hAnsi="Century Gothic"/>
          <w:sz w:val="24"/>
          <w:szCs w:val="24"/>
        </w:rPr>
        <w:t xml:space="preserve">Une terrible tempête de verglas avait brisé plusieurs branches des grands feuillus qui bordaient la rue principale. </w:t>
      </w:r>
    </w:p>
    <w:p w:rsidR="004A7FC9" w:rsidRPr="004A6B10" w:rsidRDefault="004A7FC9" w:rsidP="004A7FC9">
      <w:pPr>
        <w:jc w:val="both"/>
        <w:rPr>
          <w:rFonts w:ascii="Century Gothic" w:hAnsi="Century Gothic"/>
          <w:sz w:val="24"/>
          <w:szCs w:val="24"/>
        </w:rPr>
      </w:pPr>
      <w:r w:rsidRPr="004A6B10">
        <w:rPr>
          <w:rFonts w:ascii="Century Gothic" w:hAnsi="Century Gothic"/>
          <w:sz w:val="24"/>
          <w:szCs w:val="24"/>
        </w:rPr>
        <w:t>Les pompiers, qui ont immédiatement été appelés sur les lieux de l’accident, ont secouru les passagers du véhicule.</w:t>
      </w:r>
    </w:p>
    <w:p w:rsidR="00093AD3" w:rsidRPr="00DE625E" w:rsidRDefault="00093AD3" w:rsidP="00DE625E">
      <w:pPr>
        <w:rPr>
          <w:rFonts w:ascii="Century Gothic" w:hAnsi="Century Gothic"/>
          <w:sz w:val="24"/>
          <w:szCs w:val="24"/>
        </w:rPr>
      </w:pPr>
    </w:p>
    <w:sectPr w:rsidR="00093AD3" w:rsidRPr="00DE625E" w:rsidSect="007D774F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FBA" w:rsidRDefault="00911FBA" w:rsidP="00C031D0">
      <w:pPr>
        <w:spacing w:after="0" w:line="240" w:lineRule="auto"/>
      </w:pPr>
      <w:r>
        <w:separator/>
      </w:r>
    </w:p>
  </w:endnote>
  <w:endnote w:type="continuationSeparator" w:id="0">
    <w:p w:rsidR="00911FBA" w:rsidRDefault="00911FBA" w:rsidP="00C03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008908"/>
      <w:docPartObj>
        <w:docPartGallery w:val="Page Numbers (Bottom of Page)"/>
        <w:docPartUnique/>
      </w:docPartObj>
    </w:sdtPr>
    <w:sdtEndPr/>
    <w:sdtContent>
      <w:p w:rsidR="007D774F" w:rsidRDefault="007D774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F2E" w:rsidRPr="00DD7F2E">
          <w:rPr>
            <w:noProof/>
            <w:lang w:val="fr-FR"/>
          </w:rPr>
          <w:t>3</w:t>
        </w:r>
        <w:r>
          <w:fldChar w:fldCharType="end"/>
        </w:r>
      </w:p>
    </w:sdtContent>
  </w:sdt>
  <w:p w:rsidR="00911FBA" w:rsidRPr="00F70D9B" w:rsidRDefault="00F70D9B" w:rsidP="007D774F">
    <w:pPr>
      <w:pStyle w:val="Pieddepage"/>
      <w:tabs>
        <w:tab w:val="clear" w:pos="8640"/>
        <w:tab w:val="right" w:pos="10065"/>
      </w:tabs>
      <w:rPr>
        <w:sz w:val="18"/>
      </w:rPr>
    </w:pPr>
    <w:r>
      <w:rPr>
        <w:sz w:val="18"/>
      </w:rPr>
      <w:t xml:space="preserve">Élaboré </w:t>
    </w:r>
    <w:r w:rsidRPr="00F70D9B">
      <w:rPr>
        <w:sz w:val="18"/>
      </w:rPr>
      <w:t>Stéphanie Gagnon en collaboration avec Jean-François Tremblay, tous deux CP de français au secondaire.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D9B" w:rsidRDefault="00F70D9B" w:rsidP="00F70D9B">
    <w:pPr>
      <w:pStyle w:val="Pieddepage"/>
      <w:tabs>
        <w:tab w:val="clear" w:pos="8640"/>
        <w:tab w:val="right" w:pos="10065"/>
      </w:tabs>
    </w:pPr>
    <w:r>
      <w:rPr>
        <w:sz w:val="18"/>
      </w:rPr>
      <w:t xml:space="preserve">Élaboré </w:t>
    </w:r>
    <w:r w:rsidRPr="00F70D9B">
      <w:rPr>
        <w:sz w:val="18"/>
      </w:rPr>
      <w:t>Stéphanie Gagnon en collaboration avec Jean-François Tremblay, tous deux CP de français au secondaire.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FBA" w:rsidRDefault="00911FBA" w:rsidP="00C031D0">
      <w:pPr>
        <w:spacing w:after="0" w:line="240" w:lineRule="auto"/>
      </w:pPr>
      <w:r>
        <w:separator/>
      </w:r>
    </w:p>
  </w:footnote>
  <w:footnote w:type="continuationSeparator" w:id="0">
    <w:p w:rsidR="00911FBA" w:rsidRDefault="00911FBA" w:rsidP="00C031D0">
      <w:pPr>
        <w:spacing w:after="0" w:line="240" w:lineRule="auto"/>
      </w:pPr>
      <w:r>
        <w:continuationSeparator/>
      </w:r>
    </w:p>
  </w:footnote>
  <w:footnote w:id="1">
    <w:p w:rsidR="00911FBA" w:rsidRDefault="00911FBA" w:rsidP="004750FB">
      <w:pPr>
        <w:pStyle w:val="Notedebasdepage"/>
        <w:spacing w:after="120"/>
        <w:jc w:val="both"/>
      </w:pPr>
      <w:r>
        <w:rPr>
          <w:rStyle w:val="Appelnotedebasdep"/>
        </w:rPr>
        <w:footnoteRef/>
      </w:r>
      <w:r>
        <w:t xml:space="preserve"> Notons que le transfert des apprentissages ne saurait être assuré complètement avec ces dictées : il s’avère important de proposer aux élèves de courtes tâches d’écriture lors desquelles ils auront à mobiliser les connaissances acquises dans leurs propres phrases, dans leurs propres tournures.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FBA" w:rsidRDefault="00911FBA">
    <w:pPr>
      <w:pStyle w:val="En-tte"/>
    </w:pPr>
    <w:r>
      <w:rPr>
        <w:noProof/>
        <w:lang w:eastAsia="fr-CA"/>
      </w:rPr>
      <w:drawing>
        <wp:inline distT="0" distB="0" distL="0" distR="0">
          <wp:extent cx="1101114" cy="471225"/>
          <wp:effectExtent l="0" t="0" r="3810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SDM-rvb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937" cy="493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74F" w:rsidRDefault="007D774F">
    <w:pPr>
      <w:pStyle w:val="En-tte"/>
    </w:pPr>
    <w:r>
      <w:rPr>
        <w:noProof/>
        <w:lang w:eastAsia="fr-CA"/>
      </w:rPr>
      <w:drawing>
        <wp:inline distT="0" distB="0" distL="0" distR="0" wp14:anchorId="6FE1D76A" wp14:editId="4611F817">
          <wp:extent cx="1101114" cy="471225"/>
          <wp:effectExtent l="0" t="0" r="3810" b="508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SDM-rvb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937" cy="493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917E6"/>
    <w:multiLevelType w:val="hybridMultilevel"/>
    <w:tmpl w:val="4B789D12"/>
    <w:lvl w:ilvl="0" w:tplc="FEE8C4BE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oNotShadeFormData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00"/>
    <w:rsid w:val="00093AD3"/>
    <w:rsid w:val="000B51AC"/>
    <w:rsid w:val="00121FB5"/>
    <w:rsid w:val="00134151"/>
    <w:rsid w:val="003D444B"/>
    <w:rsid w:val="004750FB"/>
    <w:rsid w:val="004A7FC9"/>
    <w:rsid w:val="00542D9F"/>
    <w:rsid w:val="005B0738"/>
    <w:rsid w:val="00767D0B"/>
    <w:rsid w:val="007749A4"/>
    <w:rsid w:val="007D774F"/>
    <w:rsid w:val="00860600"/>
    <w:rsid w:val="00911FBA"/>
    <w:rsid w:val="009F0A29"/>
    <w:rsid w:val="009F3BDE"/>
    <w:rsid w:val="00C031D0"/>
    <w:rsid w:val="00DD247D"/>
    <w:rsid w:val="00DD7F2E"/>
    <w:rsid w:val="00DE625E"/>
    <w:rsid w:val="00E36666"/>
    <w:rsid w:val="00F70D9B"/>
    <w:rsid w:val="00FA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B5AB95"/>
  <w15:chartTrackingRefBased/>
  <w15:docId w15:val="{317269DF-CB02-45C5-92F5-508E030C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31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31D0"/>
  </w:style>
  <w:style w:type="paragraph" w:styleId="Pieddepage">
    <w:name w:val="footer"/>
    <w:basedOn w:val="Normal"/>
    <w:link w:val="PieddepageCar"/>
    <w:uiPriority w:val="99"/>
    <w:unhideWhenUsed/>
    <w:rsid w:val="00C031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31D0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31D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31D0"/>
    <w:rPr>
      <w:i/>
      <w:iCs/>
      <w:color w:val="5B9BD5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21FB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21FB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21FB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767D0B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9F0A29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0B51AC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093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93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req.qc.ca/wp-content/uploads/2019/05/Enseigner-la-grammaire-actuelle_9mai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EB875-2C31-4B24-989A-B7A78490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Tremblay Jean-François</dc:creator>
  <cp:keywords/>
  <dc:description/>
  <cp:lastModifiedBy>Tremblay Jean-François</cp:lastModifiedBy>
  <cp:revision>4</cp:revision>
  <dcterms:created xsi:type="dcterms:W3CDTF">2021-05-19T18:45:00Z</dcterms:created>
  <dcterms:modified xsi:type="dcterms:W3CDTF">2021-05-19T19:08:00Z</dcterms:modified>
</cp:coreProperties>
</file>