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1110"/>
        <w:gridCol w:w="705"/>
        <w:gridCol w:w="690"/>
        <w:gridCol w:w="975"/>
        <w:gridCol w:w="840"/>
        <w:gridCol w:w="645"/>
        <w:gridCol w:w="945"/>
        <w:gridCol w:w="690"/>
        <w:gridCol w:w="675"/>
        <w:gridCol w:w="1230"/>
        <w:gridCol w:w="1170"/>
        <w:gridCol w:w="2235"/>
        <w:tblGridChange w:id="0">
          <w:tblGrid>
            <w:gridCol w:w="2250"/>
            <w:gridCol w:w="1110"/>
            <w:gridCol w:w="705"/>
            <w:gridCol w:w="690"/>
            <w:gridCol w:w="975"/>
            <w:gridCol w:w="840"/>
            <w:gridCol w:w="645"/>
            <w:gridCol w:w="945"/>
            <w:gridCol w:w="690"/>
            <w:gridCol w:w="675"/>
            <w:gridCol w:w="1230"/>
            <w:gridCol w:w="1170"/>
            <w:gridCol w:w="22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before="0" w:lineRule="auto"/>
              <w:rPr>
                <w:rFonts w:ascii="Calibri" w:cs="Calibri" w:eastAsia="Calibri" w:hAnsi="Calibri"/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-22837</wp:posOffset>
                  </wp:positionH>
                  <wp:positionV relativeFrom="paragraph">
                    <wp:posOffset>0</wp:posOffset>
                  </wp:positionV>
                  <wp:extent cx="1371600" cy="586757"/>
                  <wp:effectExtent b="0" l="0" r="0" t="0"/>
                  <wp:wrapNone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9409" l="0" r="456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867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before="0" w:lineRule="auto"/>
              <w:jc w:val="center"/>
              <w:rPr>
                <w:rFonts w:ascii="Pangolin" w:cs="Pangolin" w:eastAsia="Pangolin" w:hAnsi="Pangol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36"/>
                <w:szCs w:val="36"/>
                <w:rtl w:val="0"/>
              </w:rPr>
              <w:t xml:space="preserve">COMPÉTENCE 1 : LIRE ET APPRÉCIER DES TEXTES VARIÉS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200" w:lineRule="auto"/>
              <w:ind w:left="140" w:firstLine="0"/>
              <w:jc w:val="center"/>
              <w:rPr>
                <w:rFonts w:ascii="Pangolin" w:cs="Pangolin" w:eastAsia="Pangolin" w:hAnsi="Pangoli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Tâche de lecture :_____________ Groupe : ___ Nom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 :</w:t>
            </w: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Résultat : </w:t>
            </w: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_____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28124999999994" w:hRule="atLeast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right"/>
              <w:rPr>
                <w:rFonts w:ascii="Pangolin" w:cs="Pangolin" w:eastAsia="Pangolin" w:hAnsi="Pangol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NIVEAUX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left"/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left"/>
              <w:rPr>
                <w:rFonts w:ascii="Pangolin" w:cs="Pangolin" w:eastAsia="Pangolin" w:hAnsi="Pangolin"/>
                <w:sz w:val="14"/>
                <w:szCs w:val="1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COMPOSANTES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MARQUÉE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A (100-90%) </w:t>
            </w:r>
          </w:p>
        </w:tc>
        <w:tc>
          <w:tcPr>
            <w:gridSpan w:val="3"/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ASSURÉE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B (85-75%)</w:t>
            </w:r>
          </w:p>
        </w:tc>
        <w:tc>
          <w:tcPr>
            <w:gridSpan w:val="3"/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ACCEPTABLE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C (70-60%)</w:t>
            </w:r>
          </w:p>
        </w:tc>
        <w:tc>
          <w:tcPr>
            <w:gridSpan w:val="2"/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PEU DÉVELOPPÉE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D (55-40%)</w:t>
            </w:r>
          </w:p>
        </w:tc>
        <w:tc>
          <w:tcPr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TRÈS PEU DÉVELOPPÉE</w:t>
            </w: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 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E (35% et moins)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vMerge w:val="restart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left"/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rtl w:val="0"/>
              </w:rPr>
              <w:t xml:space="preserve">Compréhension juste d’un ou de plusieurs textes de complexité moyenne</w:t>
            </w: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 (40%*)</w:t>
            </w:r>
          </w:p>
          <w:p w:rsidR="00000000" w:rsidDel="00000000" w:rsidP="00000000" w:rsidRDefault="00000000" w:rsidRPr="00000000" w14:paraId="00000029">
            <w:pPr>
              <w:rPr>
                <w:rFonts w:ascii="Pangolin" w:cs="Pangolin" w:eastAsia="Pangolin" w:hAnsi="Pango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Pangolin" w:cs="Pangolin" w:eastAsia="Pangolin" w:hAnsi="Pango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8"/>
                <w:szCs w:val="18"/>
                <w:rtl w:val="0"/>
              </w:rPr>
              <w:t xml:space="preserve">*% donné à titre indicatif 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Manifeste une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très bonne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compréhension en cernant avec précision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l’ensemble des éléments.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Manifeste une compréhension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satisfaisante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en cernant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plusieurs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éléments, explicites et implicites.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Manifeste une compréhension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globale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en cernant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quelques éléments.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Manifeste une compréhension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partielle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en cernant des éléments</w:t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principalement explicites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Cerne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peu d’éléments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Manifeste une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compréhension de certaines parties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de textes en cernant des éléments dont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plusieurs sont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imprécis ou incomplets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vMerge w:val="restart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rtl w:val="0"/>
              </w:rPr>
              <w:t xml:space="preserve">Interprétation fondée d’un ou de plusieurs textes </w:t>
            </w: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(25%*)</w:t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0" w:lineRule="auto"/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Rule="auto"/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8"/>
                <w:szCs w:val="18"/>
                <w:rtl w:val="0"/>
              </w:rPr>
              <w:t xml:space="preserve">*% donné à titre indicatif 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Justifie son interprétation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en établissant des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liens pertinents,  personnalisés et judicieux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entre ses hypothèses, sa connaissance du monde, ses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repères culturels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et des éléments vérifiables du texte.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Justifie son interprétation en établissant des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liens pertinents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entre ses hypothèses, sa connaissance du monde et un ou des éléments vérifiables du texte,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sans entrer en contradiction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avec d’autres éléments du texte.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Formule une interprétation en</w:t>
            </w:r>
          </w:p>
          <w:p w:rsidR="00000000" w:rsidDel="00000000" w:rsidP="00000000" w:rsidRDefault="00000000" w:rsidRPr="00000000" w14:paraId="00000057">
            <w:pPr>
              <w:spacing w:after="0" w:before="0" w:lineRule="auto"/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établissant des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liens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entre ses hypothèses et sa connaissance du monde,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en tenant compte minimalement du texte.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Appuie son interprétation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de façon sommaire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spacing w:after="0" w:before="0" w:lineRule="auto"/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5C">
            <w:pPr>
              <w:spacing w:after="0" w:before="0" w:lineRule="auto"/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Entre en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contradiction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avec un ou des éléments du texte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Émet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des hypothèses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sans les appuyer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firstLine="0"/>
              <w:rPr>
                <w:rFonts w:ascii="Pangolin" w:cs="Pangolin" w:eastAsia="Pangolin" w:hAnsi="Pangol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Rule="auto"/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rtl w:val="0"/>
              </w:rPr>
              <w:t xml:space="preserve">Réaction fondée à un ou plusieurs textes </w:t>
            </w: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(15%*)</w:t>
            </w:r>
          </w:p>
          <w:p w:rsidR="00000000" w:rsidDel="00000000" w:rsidP="00000000" w:rsidRDefault="00000000" w:rsidRPr="00000000" w14:paraId="0000006D">
            <w:pPr>
              <w:spacing w:after="0" w:before="0" w:lineRule="auto"/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0" w:lineRule="auto"/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8"/>
                <w:szCs w:val="18"/>
                <w:rtl w:val="0"/>
              </w:rPr>
              <w:t xml:space="preserve">*% donné à titre indicatif 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Justifie sa réaction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de façon élaborée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à partir de ses expériences personnelles et d’éléments pertinents du texte.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Justifie sa réaction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en établissant des liens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entre ses expériences personnelles et quelques éléments pertinents du texte.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Justifie sa réaction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en s’appuyant sur ses expériences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personnelles, ses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gouts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et ses sentiments.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Justifie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sommairement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sa réaction en s’appuyant sur ses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gouts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et ses sentiments.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Exprime sa réaction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sans la justifier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167.41999999999956" w:hRule="atLeast"/>
          <w:tblHeader w:val="0"/>
        </w:trPr>
        <w:tc>
          <w:tcPr>
            <w:vMerge w:val="continue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468.8000000000002" w:hRule="atLeast"/>
          <w:tblHeader w:val="0"/>
        </w:trPr>
        <w:tc>
          <w:tcPr>
            <w:vMerge w:val="restart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rtl w:val="0"/>
              </w:rPr>
              <w:t xml:space="preserve">Jugement critique et fondé sur un ou plusieurs textes </w:t>
            </w: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(20%*)</w:t>
            </w:r>
          </w:p>
          <w:p w:rsidR="00000000" w:rsidDel="00000000" w:rsidP="00000000" w:rsidRDefault="00000000" w:rsidRPr="00000000" w14:paraId="0000008A">
            <w:pPr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8"/>
                <w:szCs w:val="18"/>
                <w:rtl w:val="0"/>
              </w:rPr>
              <w:t xml:space="preserve">*% donné à titre indicatif 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Appuie son jugement sur des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critères d’appréciation pertinents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liés aux éléments explicites et implicites du texte ainsi que sur ses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repères culturels.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Appuie son jugement sur des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critères d’appréciation liés à des éléments explicites et implicites du texte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Appuie son jugement sur des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critères dont certains sont pertinents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3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Porte un jugement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de façon sommaire à partir de ses réactions.</w:t>
            </w:r>
          </w:p>
          <w:p w:rsidR="00000000" w:rsidDel="00000000" w:rsidP="00000000" w:rsidRDefault="00000000" w:rsidRPr="00000000" w14:paraId="00000097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Porte un jugement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de façon sommaire sans l’appuyer.</w:t>
            </w:r>
          </w:p>
        </w:tc>
      </w:tr>
      <w:tr>
        <w:trPr>
          <w:cantSplit w:val="0"/>
          <w:trHeight w:val="173.60000000000008" w:hRule="atLeast"/>
          <w:tblHeader w:val="0"/>
        </w:trPr>
        <w:tc>
          <w:tcPr>
            <w:vMerge w:val="continue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A7">
      <w:pPr>
        <w:spacing w:after="0" w:line="259" w:lineRule="auto"/>
        <w:jc w:val="center"/>
        <w:rPr>
          <w:rFonts w:ascii="Pangolin" w:cs="Pangolin" w:eastAsia="Pangolin" w:hAnsi="Pangolin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Pangolin" w:cs="Pangolin" w:eastAsia="Pangolin" w:hAnsi="Pangolin"/>
          <w:b w:val="1"/>
          <w:smallCaps w:val="1"/>
          <w:sz w:val="20"/>
          <w:szCs w:val="20"/>
          <w:rtl w:val="0"/>
        </w:rPr>
        <w:t xml:space="preserve">  </w:t>
        <w:tab/>
      </w:r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grille élaborée par Dominique </w:t>
      </w:r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Gérin</w:t>
      </w:r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, conseillère pédagogique au </w:t>
      </w:r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CSSMB</w:t>
      </w:r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, février 2023 à partir des encadrements officiels du MEQ :</w:t>
      </w:r>
    </w:p>
    <w:p w:rsidR="00000000" w:rsidDel="00000000" w:rsidP="00000000" w:rsidRDefault="00000000" w:rsidRPr="00000000" w14:paraId="000000A8">
      <w:pPr>
        <w:spacing w:after="0" w:line="259" w:lineRule="auto"/>
        <w:jc w:val="center"/>
        <w:rPr>
          <w:rFonts w:ascii="Pangolin" w:cs="Pangolin" w:eastAsia="Pangolin" w:hAnsi="Pangolin"/>
          <w:smallCaps w:val="1"/>
          <w:sz w:val="24"/>
          <w:szCs w:val="24"/>
        </w:rPr>
      </w:pPr>
      <w:hyperlink r:id="rId7">
        <w:r w:rsidDel="00000000" w:rsidR="00000000" w:rsidRPr="00000000">
          <w:rPr>
            <w:rFonts w:ascii="Pangolin" w:cs="Pangolin" w:eastAsia="Pangolin" w:hAnsi="Pangolin"/>
            <w:smallCaps w:val="1"/>
            <w:color w:val="1155cc"/>
            <w:sz w:val="24"/>
            <w:szCs w:val="24"/>
            <w:u w:val="single"/>
            <w:rtl w:val="0"/>
          </w:rPr>
          <w:t xml:space="preserve">Le Cadre d'évaluation des apprentissages et les Échelles des niveaux de compétence</w:t>
        </w:r>
      </w:hyperlink>
      <w:r w:rsidDel="00000000" w:rsidR="00000000" w:rsidRPr="00000000">
        <w:rPr>
          <w:rtl w:val="0"/>
        </w:rPr>
      </w:r>
    </w:p>
    <w:sectPr>
      <w:pgSz w:h="12240" w:w="15840" w:orient="landscape"/>
      <w:pgMar w:bottom="283.46456692913387" w:top="283.46456692913387" w:left="283.46456692913387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ngolin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sites.google.com/ggl.csmb.qc.ca/frsecondaire/documents-officiels#h.o70hhxhoa1k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ngoli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